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D5C28">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14bis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503385</w:t>
      </w:r>
    </w:p>
    <w:p w14:paraId="420CECAF">
      <w:pPr>
        <w:pStyle w:val="17"/>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21005522">
      <w:pPr>
        <w:tabs>
          <w:tab w:val="left" w:pos="1765"/>
          <w:tab w:val="center" w:pos="4557"/>
        </w:tabs>
        <w:rPr>
          <w:b/>
          <w:sz w:val="22"/>
        </w:rPr>
      </w:pPr>
    </w:p>
    <w:p w14:paraId="2BA5A307">
      <w:pPr>
        <w:tabs>
          <w:tab w:val="left" w:pos="1765"/>
          <w:tab w:val="center" w:pos="4557"/>
        </w:tabs>
        <w:rPr>
          <w:rFonts w:hint="default" w:eastAsiaTheme="minorEastAsia"/>
          <w:b/>
          <w:sz w:val="22"/>
          <w:lang w:val="en-US" w:eastAsia="zh-CN"/>
        </w:rPr>
      </w:pPr>
      <w:r>
        <w:rPr>
          <w:b/>
          <w:sz w:val="22"/>
        </w:rPr>
        <w:t>Agenda Ite</w:t>
      </w:r>
      <w:r>
        <w:rPr>
          <w:b/>
          <w:sz w:val="22"/>
          <w:highlight w:val="none"/>
        </w:rPr>
        <w:t>m:</w:t>
      </w:r>
      <w:r>
        <w:rPr>
          <w:b/>
          <w:sz w:val="22"/>
          <w:highlight w:val="none"/>
        </w:rPr>
        <w:tab/>
      </w:r>
      <w:r>
        <w:rPr>
          <w:rFonts w:hint="eastAsia"/>
          <w:sz w:val="22"/>
          <w:highlight w:val="none"/>
          <w:lang w:val="en-US" w:eastAsia="zh-CN"/>
        </w:rPr>
        <w:t>7.29.4.1</w:t>
      </w:r>
    </w:p>
    <w:p w14:paraId="745AAAD4">
      <w:pPr>
        <w:tabs>
          <w:tab w:val="left" w:pos="1765"/>
        </w:tabs>
        <w:rPr>
          <w:sz w:val="22"/>
        </w:rPr>
      </w:pPr>
      <w:r>
        <w:rPr>
          <w:b/>
          <w:sz w:val="22"/>
        </w:rPr>
        <w:t xml:space="preserve">Source: </w:t>
      </w:r>
      <w:r>
        <w:rPr>
          <w:b/>
          <w:sz w:val="22"/>
        </w:rPr>
        <w:tab/>
      </w:r>
      <w:bookmarkStart w:id="1" w:name="_Hlk41145958"/>
      <w:r>
        <w:rPr>
          <w:sz w:val="22"/>
        </w:rPr>
        <w:t>CMCC</w:t>
      </w:r>
      <w:bookmarkEnd w:id="1"/>
    </w:p>
    <w:p w14:paraId="458C21CA">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 xml:space="preserve">Discussion on the RRM requirement </w:t>
      </w:r>
      <w:r>
        <w:rPr>
          <w:rFonts w:hint="eastAsia"/>
          <w:sz w:val="22"/>
          <w:lang w:val="en-US" w:eastAsia="zh-CN"/>
        </w:rPr>
        <w:t xml:space="preserve">of (e)Redcap UE </w:t>
      </w:r>
      <w:r>
        <w:rPr>
          <w:rFonts w:hint="eastAsia"/>
          <w:sz w:val="22"/>
        </w:rPr>
        <w:t>for NTN phase3</w:t>
      </w:r>
    </w:p>
    <w:bookmarkEnd w:id="3"/>
    <w:bookmarkEnd w:id="4"/>
    <w:p w14:paraId="5F6D89EA">
      <w:pPr>
        <w:tabs>
          <w:tab w:val="left" w:pos="1765"/>
        </w:tabs>
        <w:rPr>
          <w:sz w:val="22"/>
        </w:rPr>
      </w:pPr>
      <w:r>
        <w:rPr>
          <w:b/>
          <w:sz w:val="22"/>
        </w:rPr>
        <w:t>Document for:</w:t>
      </w:r>
      <w:r>
        <w:rPr>
          <w:b/>
          <w:sz w:val="22"/>
        </w:rPr>
        <w:tab/>
      </w:r>
      <w:r>
        <w:rPr>
          <w:sz w:val="22"/>
        </w:rPr>
        <w:t>Discussion</w:t>
      </w:r>
    </w:p>
    <w:p w14:paraId="16CF6D08">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11A9E04">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In last meeting, RAN4 discussed (e)RedCap UEs over NR FR1-NTN. The WF has been app</w:t>
      </w:r>
      <w:bookmarkStart w:id="40" w:name="_GoBack"/>
      <w:bookmarkEnd w:id="40"/>
      <w:r>
        <w:rPr>
          <w:rFonts w:hint="eastAsia"/>
          <w:sz w:val="20"/>
          <w:szCs w:val="20"/>
          <w:lang w:val="en-US" w:eastAsia="zh-CN"/>
        </w:rPr>
        <w:t xml:space="preserve">roved in [1]. </w:t>
      </w:r>
    </w:p>
    <w:p w14:paraId="4D5A168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specific requirements</w:t>
      </w:r>
      <w:r>
        <w:rPr>
          <w:rFonts w:eastAsia="等线"/>
          <w:sz w:val="20"/>
          <w:szCs w:val="20"/>
        </w:rPr>
        <w:t>.</w:t>
      </w:r>
    </w:p>
    <w:p w14:paraId="1EA5D032">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bookmarkStart w:id="5" w:name="_Hlk147849822"/>
      <w:bookmarkStart w:id="6" w:name="_Hlk70326378"/>
      <w:bookmarkStart w:id="7" w:name="OLE_LINK1"/>
      <w:bookmarkStart w:id="8" w:name="OLE_LINK2"/>
      <w:r>
        <w:rPr>
          <w:rFonts w:hint="eastAsia" w:ascii="Times New Roman" w:hAnsi="Times New Roman"/>
          <w:b w:val="0"/>
          <w:bCs w:val="0"/>
          <w:kern w:val="0"/>
          <w:sz w:val="36"/>
          <w:szCs w:val="36"/>
          <w:lang w:val="en-US" w:eastAsia="ja-JP"/>
        </w:rPr>
        <w:t>General consideration on RRM requirements</w:t>
      </w:r>
    </w:p>
    <w:p w14:paraId="1C3F63E9">
      <w:pPr>
        <w:numPr>
          <w:ilvl w:val="1"/>
          <w:numId w:val="5"/>
        </w:numPr>
        <w:pBdr>
          <w:top w:val="single" w:color="auto" w:sz="12" w:space="3"/>
        </w:pBdr>
        <w:tabs>
          <w:tab w:val="left" w:pos="432"/>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ja-JP"/>
        </w:rPr>
      </w:pPr>
      <w:r>
        <w:rPr>
          <w:rFonts w:hint="eastAsia" w:ascii="Times New Roman" w:hAnsi="Times New Roman"/>
          <w:b w:val="0"/>
          <w:bCs w:val="0"/>
          <w:kern w:val="0"/>
          <w:sz w:val="28"/>
          <w:szCs w:val="28"/>
          <w:lang w:val="en-US" w:eastAsia="zh-CN"/>
        </w:rPr>
        <w:t xml:space="preserve"> </w:t>
      </w:r>
      <w:r>
        <w:rPr>
          <w:rFonts w:hint="eastAsia" w:ascii="Times New Roman" w:hAnsi="Times New Roman"/>
          <w:b w:val="0"/>
          <w:bCs w:val="0"/>
          <w:kern w:val="0"/>
          <w:sz w:val="28"/>
          <w:szCs w:val="28"/>
          <w:lang w:val="en-US" w:eastAsia="ja-JP"/>
        </w:rPr>
        <w:t>What RRM requirements are defined for (e)RedCap UE with FR1-NTN</w:t>
      </w:r>
    </w:p>
    <w:p w14:paraId="746125BE">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1-1-3: MDT requirements</w:t>
      </w:r>
    </w:p>
    <w:p w14:paraId="0F0EA9DD">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Agreement:</w:t>
      </w:r>
    </w:p>
    <w:p w14:paraId="51E6A597">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MDT requirements in RRC_IDLE and RRC_INACTIVE state,</w:t>
      </w:r>
    </w:p>
    <w:p w14:paraId="648B6C4A">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Deprioritize to define Minimization of Drive Tests (MDT) requirements in RRC_IDLE state and RRC_INACTIVE state for (e)RedCap UE with FR1-NTN.</w:t>
      </w:r>
    </w:p>
    <w:p w14:paraId="184B232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We think it is beneficial to support MDT capability for Redcap UE over NTN. </w:t>
      </w:r>
    </w:p>
    <w:p w14:paraId="3A05902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Firstly, for NTN network with </w:t>
      </w:r>
      <w:bookmarkStart w:id="9" w:name="OLE_LINK3"/>
      <w:r>
        <w:rPr>
          <w:rFonts w:hint="eastAsia"/>
          <w:kern w:val="2"/>
          <w:sz w:val="20"/>
          <w:szCs w:val="20"/>
          <w:lang w:val="en-US" w:eastAsia="zh-CN"/>
        </w:rPr>
        <w:t>large/moving cell coverage</w:t>
      </w:r>
      <w:bookmarkEnd w:id="9"/>
      <w:r>
        <w:rPr>
          <w:rFonts w:hint="eastAsia"/>
          <w:kern w:val="2"/>
          <w:sz w:val="20"/>
          <w:szCs w:val="20"/>
          <w:lang w:val="en-US" w:eastAsia="zh-CN"/>
        </w:rPr>
        <w:t xml:space="preserve">, it is barely impossible to use the traditional drive test, which requires support from both operation and testing equipment, the difficulty and cost of network optimization will increase a lot. While MDT could </w:t>
      </w:r>
      <w:r>
        <w:rPr>
          <w:rFonts w:hint="eastAsia"/>
          <w:kern w:val="2"/>
          <w:sz w:val="20"/>
          <w:szCs w:val="20"/>
          <w:lang w:val="en-GB" w:eastAsia="zh-CN"/>
        </w:rPr>
        <w:t>help network to optimize</w:t>
      </w:r>
      <w:r>
        <w:rPr>
          <w:rFonts w:hint="eastAsia"/>
          <w:kern w:val="2"/>
          <w:sz w:val="20"/>
          <w:szCs w:val="20"/>
          <w:lang w:val="en-US" w:eastAsia="zh-CN"/>
        </w:rPr>
        <w:t xml:space="preserve"> the scheduling with low cost</w:t>
      </w:r>
      <w:r>
        <w:rPr>
          <w:rFonts w:hint="eastAsia"/>
          <w:kern w:val="2"/>
          <w:sz w:val="20"/>
          <w:szCs w:val="20"/>
          <w:lang w:val="en-GB" w:eastAsia="zh-CN"/>
        </w:rPr>
        <w:t>.</w:t>
      </w:r>
      <w:r>
        <w:rPr>
          <w:rFonts w:hint="eastAsia"/>
          <w:kern w:val="2"/>
          <w:sz w:val="20"/>
          <w:szCs w:val="20"/>
          <w:lang w:val="en-US" w:eastAsia="zh-CN"/>
        </w:rPr>
        <w:t xml:space="preserve"> </w:t>
      </w:r>
    </w:p>
    <w:p w14:paraId="5A0FC7C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Secondly, for large cell coverage, especially for lonely area, it is hard to assume that network can acquire MDT report from handheld UE, the Redcap UE can serve as a supplement in this case.</w:t>
      </w:r>
    </w:p>
    <w:p w14:paraId="36B1157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Thirdly, the link performance seen between handheld UE and Redcap UE may be different, especially for 1Rx Redcap and HD-FDD Redcap. Therefore, although NTN network has already have MDT report from handheld UE, the MDT report from Redcap UE can still provide more information to network. </w:t>
      </w:r>
    </w:p>
    <w:p w14:paraId="655F57B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Lastly, we understand there is power consumption concern for Redcap UE. However, considering it is up to UE whether to support this capability or not, and UE who support this feature will stop the memory when the cached data over the threshold, and MDT will be started only after receiving the network configuration, we think all these approach can guarantee that the feature will be applied for UE without power consumption issue and only when necessary from network side.</w:t>
      </w:r>
    </w:p>
    <w:p w14:paraId="0B91937B">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bookmarkStart w:id="10" w:name="OLE_LINK4"/>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 xml:space="preserve">: </w:t>
      </w:r>
      <w:r>
        <w:rPr>
          <w:rFonts w:hint="eastAsia" w:eastAsia="等线"/>
          <w:b/>
          <w:bCs/>
          <w:i/>
          <w:iCs/>
          <w:sz w:val="20"/>
          <w:szCs w:val="20"/>
          <w:lang w:val="en-US" w:eastAsia="zh-CN"/>
        </w:rPr>
        <w:t>Define the MDT requirements i</w:t>
      </w:r>
      <w:r>
        <w:rPr>
          <w:rFonts w:hint="eastAsia"/>
          <w:b/>
          <w:bCs/>
          <w:i/>
          <w:iCs/>
          <w:sz w:val="20"/>
          <w:szCs w:val="20"/>
          <w:lang w:val="en-US" w:eastAsia="zh-CN"/>
        </w:rPr>
        <w:t xml:space="preserve">n RRC_IDLE and RRC_INACTIVE state </w:t>
      </w:r>
      <w:r>
        <w:rPr>
          <w:rFonts w:hint="eastAsia" w:eastAsia="等线"/>
          <w:b/>
          <w:bCs/>
          <w:i/>
          <w:iCs/>
          <w:sz w:val="20"/>
          <w:szCs w:val="20"/>
          <w:lang w:val="en-US" w:eastAsia="zh-CN"/>
        </w:rPr>
        <w:t>for Redcap over NTN.</w:t>
      </w:r>
    </w:p>
    <w:bookmarkEnd w:id="10"/>
    <w:p w14:paraId="6DA872E9">
      <w:pPr>
        <w:pStyle w:val="3"/>
        <w:numPr>
          <w:ilvl w:val="1"/>
          <w:numId w:val="5"/>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Features to be considered for (e)RedCap UE with FR1-NTN</w:t>
      </w:r>
    </w:p>
    <w:p w14:paraId="7F7C09CD">
      <w:pPr>
        <w:keepNext w:val="0"/>
        <w:keepLines w:val="0"/>
        <w:pageBreakBefore w:val="0"/>
        <w:widowControl/>
        <w:kinsoku/>
        <w:wordWrap/>
        <w:overflowPunct/>
        <w:topLinePunct w:val="0"/>
        <w:autoSpaceDE/>
        <w:autoSpaceDN/>
        <w:bidi w:val="0"/>
        <w:adjustRightInd/>
        <w:spacing w:before="60" w:after="60"/>
        <w:textAlignment w:val="auto"/>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1-2-3-1: Feature 25-1(parallelSMTC)</w:t>
      </w:r>
    </w:p>
    <w:p w14:paraId="03CD836A">
      <w:pPr>
        <w:keepNext w:val="0"/>
        <w:keepLines w:val="0"/>
        <w:pageBreakBefore w:val="0"/>
        <w:widowControl/>
        <w:kinsoku/>
        <w:wordWrap/>
        <w:overflowPunct/>
        <w:topLinePunct w:val="0"/>
        <w:autoSpaceDE/>
        <w:autoSpaceDN/>
        <w:bidi w:val="0"/>
        <w:adjustRightInd/>
        <w:spacing w:before="60" w:after="60"/>
        <w:textAlignment w:val="auto"/>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&lt;Way Forward&gt;:</w:t>
      </w:r>
    </w:p>
    <w:p w14:paraId="770196EB">
      <w:pPr>
        <w:keepNext w:val="0"/>
        <w:keepLines w:val="0"/>
        <w:pageBreakBefore w:val="0"/>
        <w:widowControl/>
        <w:kinsoku/>
        <w:wordWrap/>
        <w:overflowPunct/>
        <w:topLinePunct w:val="0"/>
        <w:autoSpaceDE/>
        <w:autoSpaceDN/>
        <w:bidi w:val="0"/>
        <w:adjustRightInd/>
        <w:snapToGrid w:val="0"/>
        <w:spacing w:before="60" w:after="60"/>
        <w:textAlignment w:val="auto"/>
        <w:rPr>
          <w:i/>
          <w:iCs/>
          <w:sz w:val="20"/>
          <w:szCs w:val="20"/>
          <w:lang w:eastAsia="zh-CN"/>
        </w:rPr>
      </w:pPr>
      <w:r>
        <w:rPr>
          <w:rFonts w:hint="eastAsia"/>
          <w:i/>
          <w:iCs/>
          <w:sz w:val="20"/>
          <w:szCs w:val="20"/>
          <w:lang w:eastAsia="zh-CN"/>
        </w:rPr>
        <w:t>O</w:t>
      </w:r>
      <w:r>
        <w:rPr>
          <w:i/>
          <w:iCs/>
          <w:sz w:val="20"/>
          <w:szCs w:val="20"/>
          <w:lang w:eastAsia="zh-CN"/>
        </w:rPr>
        <w:t>ptions for further discussion:</w:t>
      </w:r>
    </w:p>
    <w:p w14:paraId="6C295EEE">
      <w:pPr>
        <w:keepNext w:val="0"/>
        <w:keepLines w:val="0"/>
        <w:pageBreakBefore w:val="0"/>
        <w:widowControl/>
        <w:kinsoku/>
        <w:wordWrap/>
        <w:overflowPunct/>
        <w:topLinePunct w:val="0"/>
        <w:autoSpaceDE/>
        <w:autoSpaceDN/>
        <w:bidi w:val="0"/>
        <w:adjustRightInd/>
        <w:snapToGrid w:val="0"/>
        <w:spacing w:before="60" w:after="60"/>
        <w:textAlignment w:val="auto"/>
        <w:rPr>
          <w:i/>
          <w:iCs/>
          <w:sz w:val="20"/>
          <w:szCs w:val="20"/>
          <w:lang w:eastAsia="zh-CN"/>
        </w:rPr>
      </w:pPr>
      <w:r>
        <w:rPr>
          <w:i/>
          <w:iCs/>
          <w:sz w:val="20"/>
          <w:szCs w:val="20"/>
          <w:lang w:eastAsia="zh-CN"/>
        </w:rPr>
        <w:t xml:space="preserve">If not differentiate 1Rx and 2Rx </w:t>
      </w:r>
      <w:r>
        <w:rPr>
          <w:rFonts w:hint="eastAsia"/>
          <w:i/>
          <w:iCs/>
          <w:sz w:val="20"/>
          <w:szCs w:val="20"/>
          <w:lang w:eastAsia="zh-CN"/>
        </w:rPr>
        <w:t xml:space="preserve">RedCap </w:t>
      </w:r>
      <w:r>
        <w:rPr>
          <w:i/>
          <w:iCs/>
          <w:sz w:val="20"/>
          <w:szCs w:val="20"/>
          <w:lang w:eastAsia="zh-CN"/>
        </w:rPr>
        <w:t xml:space="preserve">UEs, the </w:t>
      </w:r>
      <w:r>
        <w:rPr>
          <w:b/>
          <w:i/>
          <w:iCs/>
          <w:sz w:val="20"/>
          <w:szCs w:val="20"/>
          <w:lang w:eastAsia="zh-CN"/>
        </w:rPr>
        <w:t>baseline</w:t>
      </w:r>
      <w:r>
        <w:rPr>
          <w:i/>
          <w:iCs/>
          <w:sz w:val="20"/>
          <w:szCs w:val="20"/>
          <w:lang w:eastAsia="zh-CN"/>
        </w:rPr>
        <w:t xml:space="preserve"> for UE capability is:</w:t>
      </w:r>
    </w:p>
    <w:p w14:paraId="685CA737">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1: [1 SMTC or] 2 SMTCs not in parallel</w:t>
      </w:r>
    </w:p>
    <w:p w14:paraId="00732F19">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2: 2 parallel SMTCs</w:t>
      </w:r>
    </w:p>
    <w:p w14:paraId="3ABF620D">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‘Parallel’ means the SMTCs are TDM with </w:t>
      </w:r>
      <w:bookmarkStart w:id="11" w:name="OLE_LINK5"/>
      <w:r>
        <w:rPr>
          <w:rFonts w:hint="eastAsia" w:ascii="Times New Roman" w:hAnsi="Times New Roman" w:eastAsia="宋体" w:cs="Times New Roman"/>
          <w:i/>
          <w:iCs/>
          <w:sz w:val="20"/>
          <w:szCs w:val="20"/>
          <w:lang w:val="en-US" w:eastAsia="zh-CN" w:bidi="ar-SA"/>
        </w:rPr>
        <w:t>proximity</w:t>
      </w:r>
      <w:bookmarkEnd w:id="11"/>
      <w:r>
        <w:rPr>
          <w:rFonts w:hint="eastAsia" w:ascii="Times New Roman" w:hAnsi="Times New Roman" w:eastAsia="宋体" w:cs="Times New Roman"/>
          <w:i/>
          <w:iCs/>
          <w:sz w:val="20"/>
          <w:szCs w:val="20"/>
          <w:lang w:val="en-US" w:eastAsia="zh-CN" w:bidi="ar-SA"/>
        </w:rPr>
        <w:t xml:space="preserve"> distance.</w:t>
      </w:r>
    </w:p>
    <w:p w14:paraId="4C5E1906">
      <w:pPr>
        <w:keepNext w:val="0"/>
        <w:keepLines w:val="0"/>
        <w:pageBreakBefore w:val="0"/>
        <w:widowControl/>
        <w:kinsoku/>
        <w:wordWrap/>
        <w:overflowPunct/>
        <w:topLinePunct w:val="0"/>
        <w:autoSpaceDE/>
        <w:autoSpaceDN/>
        <w:bidi w:val="0"/>
        <w:adjustRightInd/>
        <w:spacing w:before="60" w:after="60"/>
        <w:textAlignment w:val="auto"/>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1-2-3-1a: The proximity distance between two SMTCs</w:t>
      </w:r>
    </w:p>
    <w:p w14:paraId="103EEE74">
      <w:pPr>
        <w:keepNext w:val="0"/>
        <w:keepLines w:val="0"/>
        <w:pageBreakBefore w:val="0"/>
        <w:widowControl/>
        <w:kinsoku/>
        <w:wordWrap/>
        <w:overflowPunct/>
        <w:topLinePunct w:val="0"/>
        <w:autoSpaceDE/>
        <w:autoSpaceDN/>
        <w:bidi w:val="0"/>
        <w:adjustRightInd/>
        <w:spacing w:before="60" w:after="60"/>
        <w:textAlignment w:val="auto"/>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Agreement:</w:t>
      </w:r>
    </w:p>
    <w:p w14:paraId="4DA4C02B">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RAN4 to define the proximity distance between two SMTCs for (e)RedCap UEs in NTN.</w:t>
      </w:r>
    </w:p>
    <w:p w14:paraId="1E14BA3C">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distance between two SMTC occasions is defined as the time difference between the ending point of the earlier SMTC occasion and the starting point of the later SMTC occasion.</w:t>
      </w:r>
    </w:p>
    <w:p w14:paraId="7960CD4D">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whether to consider relaxation for proximity when (e)RedCap UE is configured with more than one SMTC on a SAN carrier,</w:t>
      </w:r>
    </w:p>
    <w:p w14:paraId="0DF87CDC">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1: No. RAN4 to reuse the legacy collision condition.</w:t>
      </w:r>
    </w:p>
    <w:p w14:paraId="42C55A68">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2: Yes. RAN4 to consider relaxation for proximity, i.e.,</w:t>
      </w:r>
    </w:p>
    <w:p w14:paraId="356E51E7">
      <w:pPr>
        <w:keepNext w:val="0"/>
        <w:keepLines w:val="0"/>
        <w:pageBreakBefore w:val="0"/>
        <w:widowControl/>
        <w:numPr>
          <w:ilvl w:val="2"/>
          <w:numId w:val="6"/>
        </w:numPr>
        <w:kinsoku/>
        <w:wordWrap/>
        <w:overflowPunct/>
        <w:topLinePunct w:val="0"/>
        <w:autoSpaceDE/>
        <w:autoSpaceDN/>
        <w:bidi w:val="0"/>
        <w:adjustRightInd/>
        <w:spacing w:before="60" w:after="60"/>
        <w:ind w:left="156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When (e)RedCap UE is configured with more than one SMTC on a SAN carrier, two SMTC occasions outside measurement gap are considered colliding if at least one of the following conditions is met:</w:t>
      </w:r>
    </w:p>
    <w:p w14:paraId="5E17D84E">
      <w:pPr>
        <w:keepNext w:val="0"/>
        <w:keepLines w:val="0"/>
        <w:pageBreakBefore w:val="0"/>
        <w:widowControl/>
        <w:numPr>
          <w:ilvl w:val="3"/>
          <w:numId w:val="6"/>
        </w:numPr>
        <w:kinsoku/>
        <w:wordWrap/>
        <w:overflowPunct/>
        <w:topLinePunct w:val="0"/>
        <w:autoSpaceDE/>
        <w:autoSpaceDN/>
        <w:bidi w:val="0"/>
        <w:adjustRightInd/>
        <w:spacing w:before="60" w:after="60"/>
        <w:ind w:left="198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two SMTC occasions are fully or partially overlapping in time domain, or</w:t>
      </w:r>
    </w:p>
    <w:p w14:paraId="42E52C79">
      <w:pPr>
        <w:keepNext w:val="0"/>
        <w:keepLines w:val="0"/>
        <w:pageBreakBefore w:val="0"/>
        <w:widowControl/>
        <w:numPr>
          <w:ilvl w:val="3"/>
          <w:numId w:val="6"/>
        </w:numPr>
        <w:kinsoku/>
        <w:wordWrap/>
        <w:overflowPunct/>
        <w:topLinePunct w:val="0"/>
        <w:autoSpaceDE/>
        <w:autoSpaceDN/>
        <w:bidi w:val="0"/>
        <w:adjustRightInd/>
        <w:spacing w:before="60" w:after="60"/>
        <w:ind w:left="198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magnitude of the distance between two SMTC occasions in time domain is less than or equals to (4+x) ms. (x is the relaxation for (eRedCap UE)), x can be FFS. (1ms as starting point)</w:t>
      </w:r>
    </w:p>
    <w:p w14:paraId="4A203B0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 xml:space="preserve">In R17 NTN, according to the UE capability </w:t>
      </w:r>
      <w:r>
        <w:rPr>
          <w:rFonts w:hint="eastAsia"/>
          <w:i/>
          <w:iCs/>
          <w:kern w:val="2"/>
          <w:sz w:val="20"/>
          <w:szCs w:val="20"/>
          <w:lang w:val="en-US" w:eastAsia="zh-CN"/>
        </w:rPr>
        <w:t>parallelSMTC-r17</w:t>
      </w:r>
      <w:r>
        <w:rPr>
          <w:rFonts w:hint="eastAsia"/>
          <w:i w:val="0"/>
          <w:iCs w:val="0"/>
          <w:kern w:val="2"/>
          <w:sz w:val="20"/>
          <w:szCs w:val="20"/>
          <w:lang w:val="en-US" w:eastAsia="zh-CN"/>
        </w:rPr>
        <w:t xml:space="preserve">, </w:t>
      </w:r>
      <w:r>
        <w:rPr>
          <w:rFonts w:hint="eastAsia"/>
          <w:kern w:val="2"/>
          <w:sz w:val="20"/>
          <w:szCs w:val="20"/>
          <w:lang w:val="en-US" w:eastAsia="zh-CN"/>
        </w:rPr>
        <w:t xml:space="preserve">UE is capable of performing RRM measurements in parallel on at least 2 SMTCs with different offsets and same periodicity, optionally on 4 SMTCs, which configured by </w:t>
      </w:r>
      <w:r>
        <w:rPr>
          <w:rFonts w:hint="eastAsia"/>
          <w:i/>
          <w:iCs/>
          <w:kern w:val="2"/>
          <w:sz w:val="20"/>
          <w:szCs w:val="20"/>
          <w:lang w:val="en-US" w:eastAsia="zh-CN"/>
        </w:rPr>
        <w:t>SSB-MTC4List-r17,</w:t>
      </w:r>
      <w:r>
        <w:rPr>
          <w:rFonts w:hint="eastAsia"/>
          <w:kern w:val="2"/>
          <w:sz w:val="20"/>
          <w:szCs w:val="20"/>
          <w:lang w:val="en-US" w:eastAsia="zh-CN"/>
        </w:rPr>
        <w:t xml:space="preserve"> </w:t>
      </w:r>
      <w:r>
        <w:rPr>
          <w:rFonts w:hint="eastAsia"/>
          <w:i w:val="0"/>
          <w:iCs w:val="0"/>
          <w:kern w:val="2"/>
          <w:sz w:val="20"/>
          <w:szCs w:val="20"/>
          <w:lang w:val="en-US" w:eastAsia="zh-CN"/>
        </w:rPr>
        <w:t xml:space="preserve">which means </w:t>
      </w:r>
      <w:r>
        <w:rPr>
          <w:rFonts w:hint="eastAsia"/>
          <w:kern w:val="2"/>
          <w:sz w:val="20"/>
          <w:szCs w:val="20"/>
          <w:lang w:val="en-US" w:eastAsia="zh-CN"/>
        </w:rPr>
        <w:t xml:space="preserve">UE is able to sample in </w:t>
      </w:r>
      <w:r>
        <w:rPr>
          <w:rFonts w:hint="default"/>
          <w:kern w:val="2"/>
          <w:sz w:val="20"/>
          <w:szCs w:val="20"/>
          <w:lang w:val="en-US" w:eastAsia="zh-CN"/>
        </w:rPr>
        <w:t>‘</w:t>
      </w:r>
      <w:r>
        <w:rPr>
          <w:rFonts w:hint="eastAsia"/>
          <w:kern w:val="2"/>
          <w:sz w:val="20"/>
          <w:szCs w:val="20"/>
          <w:lang w:val="en-US" w:eastAsia="zh-CN"/>
        </w:rPr>
        <w:t>2 or optional 4 SMTCs</w:t>
      </w:r>
      <w:r>
        <w:rPr>
          <w:rFonts w:hint="default"/>
          <w:kern w:val="2"/>
          <w:sz w:val="20"/>
          <w:szCs w:val="20"/>
          <w:lang w:val="en-US" w:eastAsia="zh-CN"/>
        </w:rPr>
        <w:t>’</w:t>
      </w:r>
      <w:r>
        <w:rPr>
          <w:rFonts w:hint="eastAsia"/>
          <w:kern w:val="2"/>
          <w:sz w:val="20"/>
          <w:szCs w:val="20"/>
          <w:lang w:val="en-US" w:eastAsia="zh-CN"/>
        </w:rPr>
        <w:t xml:space="preserve"> in parallel during one SMTC periodicity.</w:t>
      </w:r>
    </w:p>
    <w:p w14:paraId="5DCB3E0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bookmarkStart w:id="12" w:name="OLE_LINK10"/>
      <w:r>
        <w:rPr>
          <w:rFonts w:hint="eastAsia"/>
          <w:kern w:val="2"/>
          <w:sz w:val="20"/>
          <w:szCs w:val="20"/>
          <w:lang w:val="en-US" w:eastAsia="zh-CN"/>
        </w:rPr>
        <w:t xml:space="preserve">For Redcap over NTN, since the network scenario is unchanged, RAN4 still need to define RRM requirements for multiple SMTC-s for a single frequency carrier to guarantee at least 2 target satellites including serving LEO satellite and neighbour LEO satellite(s) will be monitored. </w:t>
      </w:r>
      <w:bookmarkEnd w:id="12"/>
      <w:r>
        <w:rPr>
          <w:rFonts w:hint="eastAsia"/>
          <w:kern w:val="2"/>
          <w:sz w:val="20"/>
          <w:szCs w:val="20"/>
          <w:lang w:val="en-US" w:eastAsia="zh-CN"/>
        </w:rPr>
        <w:t>With enough distance between SMTCs, we think it is feasible for UE to treat them in TDM manner (also called parallel), even for Redcap UE. Therefore, we prefer to follow the legacy that UE is mandatory to support parallel measurements on 2 SMTC-s for a single frequency carrier.</w:t>
      </w:r>
    </w:p>
    <w:p w14:paraId="7328AF2A">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bookmarkStart w:id="13" w:name="OLE_LINK9"/>
      <w:r>
        <w:rPr>
          <w:rFonts w:eastAsia="等线"/>
          <w:b/>
          <w:bCs/>
          <w:i/>
          <w:iCs/>
          <w:sz w:val="20"/>
          <w:szCs w:val="20"/>
        </w:rPr>
        <w:t xml:space="preserve">Proposal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 xml:space="preserve">For both 1Rx and 2Rx Redcap UE, the baseline of UE capability is that </w:t>
      </w:r>
      <w:bookmarkStart w:id="14" w:name="OLE_LINK6"/>
      <w:r>
        <w:rPr>
          <w:rFonts w:eastAsia="等线"/>
          <w:b/>
          <w:bCs/>
          <w:i/>
          <w:iCs/>
          <w:sz w:val="20"/>
          <w:szCs w:val="20"/>
        </w:rPr>
        <w:t>UE is mandatory to support</w:t>
      </w:r>
      <w:r>
        <w:rPr>
          <w:rFonts w:hint="eastAsia" w:eastAsia="等线"/>
          <w:b/>
          <w:bCs/>
          <w:i/>
          <w:iCs/>
          <w:sz w:val="20"/>
          <w:szCs w:val="20"/>
          <w:lang w:val="en-US" w:eastAsia="zh-CN"/>
        </w:rPr>
        <w:t xml:space="preserve"> p</w:t>
      </w:r>
      <w:r>
        <w:rPr>
          <w:rFonts w:eastAsia="等线"/>
          <w:b/>
          <w:bCs/>
          <w:i/>
          <w:iCs/>
          <w:sz w:val="20"/>
          <w:szCs w:val="20"/>
        </w:rPr>
        <w:t xml:space="preserve">arallel measurements on </w:t>
      </w:r>
      <w:r>
        <w:rPr>
          <w:rFonts w:hint="eastAsia" w:eastAsia="等线"/>
          <w:b/>
          <w:bCs/>
          <w:i/>
          <w:iCs/>
          <w:sz w:val="20"/>
          <w:szCs w:val="20"/>
          <w:lang w:val="en-US" w:eastAsia="zh-CN"/>
        </w:rPr>
        <w:t>2</w:t>
      </w:r>
      <w:r>
        <w:rPr>
          <w:rFonts w:eastAsia="等线"/>
          <w:b/>
          <w:bCs/>
          <w:i/>
          <w:iCs/>
          <w:sz w:val="20"/>
          <w:szCs w:val="20"/>
        </w:rPr>
        <w:t xml:space="preserve"> SMTC-s for a single frequency carrier</w:t>
      </w:r>
      <w:r>
        <w:rPr>
          <w:rFonts w:hint="eastAsia" w:eastAsia="等线"/>
          <w:b/>
          <w:bCs/>
          <w:i/>
          <w:iCs/>
          <w:sz w:val="20"/>
          <w:szCs w:val="20"/>
          <w:lang w:val="en-US" w:eastAsia="zh-CN"/>
        </w:rPr>
        <w:t>.</w:t>
      </w:r>
      <w:bookmarkEnd w:id="14"/>
    </w:p>
    <w:bookmarkEnd w:id="13"/>
    <w:p w14:paraId="272EA03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If the SMTCs are overlapped with each other, or within the proximity distance, UE can not support parallel measurements, due to additional processing time for processing the different doppler in each SMTC is needed. Currently, we don</w:t>
      </w:r>
      <w:r>
        <w:rPr>
          <w:rFonts w:hint="default"/>
          <w:kern w:val="2"/>
          <w:sz w:val="20"/>
          <w:szCs w:val="20"/>
          <w:lang w:val="en-US" w:eastAsia="zh-CN"/>
        </w:rPr>
        <w:t>’</w:t>
      </w:r>
      <w:r>
        <w:rPr>
          <w:rFonts w:hint="eastAsia"/>
          <w:kern w:val="2"/>
          <w:sz w:val="20"/>
          <w:szCs w:val="20"/>
          <w:lang w:val="en-US" w:eastAsia="zh-CN"/>
        </w:rPr>
        <w:t>t think this processing time is needed to be relaxed for RedCap UE, legacy collision condition is preferred.</w:t>
      </w:r>
    </w:p>
    <w:p w14:paraId="404626E6">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bookmarkStart w:id="15" w:name="OLE_LINK11"/>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Reuse the legacy collision conditions for parallel measurements on multiple SMTCs.</w:t>
      </w:r>
    </w:p>
    <w:bookmarkEnd w:id="15"/>
    <w:p w14:paraId="3A59922B">
      <w:pPr>
        <w:keepNext w:val="0"/>
        <w:keepLines w:val="0"/>
        <w:pageBreakBefore w:val="0"/>
        <w:widowControl/>
        <w:numPr>
          <w:ilvl w:val="0"/>
          <w:numId w:val="0"/>
        </w:numPr>
        <w:kinsoku/>
        <w:wordWrap/>
        <w:overflowPunct/>
        <w:topLinePunct w:val="0"/>
        <w:autoSpaceDE/>
        <w:autoSpaceDN/>
        <w:bidi w:val="0"/>
        <w:adjustRightInd/>
        <w:snapToGrid/>
        <w:spacing w:before="60" w:after="60"/>
        <w:contextualSpacing w:val="0"/>
        <w:textAlignment w:val="auto"/>
        <w:rPr>
          <w:rFonts w:hint="eastAsia" w:ascii="Times New Roman" w:hAnsi="Times New Roman" w:eastAsia="宋体" w:cs="Times New Roman"/>
          <w:i/>
          <w:iCs/>
          <w:sz w:val="20"/>
          <w:szCs w:val="20"/>
          <w:lang w:val="en-US" w:eastAsia="zh-CN" w:bidi="ar-SA"/>
        </w:rPr>
      </w:pPr>
    </w:p>
    <w:p w14:paraId="0646F580">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1-2-3-3: The number of cells/SSBs/supported satellites</w:t>
      </w:r>
    </w:p>
    <w:p w14:paraId="70CD9B06">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&lt;Way Forward&gt;:</w:t>
      </w:r>
    </w:p>
    <w:p w14:paraId="7EDFC619">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the number of supported satellites,</w:t>
      </w:r>
    </w:p>
    <w:p w14:paraId="35D09E6B">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1: </w:t>
      </w:r>
      <w:bookmarkStart w:id="16" w:name="OLE_LINK12"/>
      <w:r>
        <w:rPr>
          <w:rFonts w:hint="eastAsia" w:ascii="Times New Roman" w:hAnsi="Times New Roman" w:eastAsia="宋体" w:cs="Times New Roman"/>
          <w:i/>
          <w:iCs/>
          <w:sz w:val="20"/>
          <w:szCs w:val="20"/>
          <w:lang w:val="en-US" w:eastAsia="zh-CN" w:bidi="ar-SA"/>
        </w:rPr>
        <w:t>For the number of target LEO satellites the UE can monitor per carrier including serving satellite, legacy UE capability (Feature 25-7, maxNumber-LEO-SatellitesPerCarrier-r17) can be reused for RedCap UE.</w:t>
      </w:r>
    </w:p>
    <w:bookmarkEnd w:id="16"/>
    <w:p w14:paraId="353FA892">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2: </w:t>
      </w:r>
    </w:p>
    <w:p w14:paraId="1317C25D">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RedCap UEs shall support at least one NGSO satellite per SMTC configured in a frequency layer in addition to the serving satellite.</w:t>
      </w:r>
    </w:p>
    <w:p w14:paraId="5C5433F7">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total number of supported satellites for measurement in a frequency layer is equal to N+1 where N is the number of configured SMTCs, if the serving satellite is to be measured in this frequency layer and N if the serving satellite is not to be measured in this frequency layer.</w:t>
      </w:r>
    </w:p>
    <w:p w14:paraId="1D905A7C">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the number of cells and SSB,</w:t>
      </w:r>
    </w:p>
    <w:p w14:paraId="7B1183CB">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1: RedCap NTN reuses the number of cells and SSB for NR NTN, i.e., </w:t>
      </w:r>
    </w:p>
    <w:p w14:paraId="7246788E">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1a: For each intra-frequency layer, during each layer 1 measurement period, the UE shall be capable of performing SS-RSRP, SS-RSRQ, and SS-SINR measurements for at least:</w:t>
      </w:r>
    </w:p>
    <w:p w14:paraId="2643A733">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ab/>
      </w:r>
      <w:r>
        <w:rPr>
          <w:rFonts w:hint="eastAsia" w:ascii="Times New Roman" w:hAnsi="Times New Roman" w:eastAsia="宋体" w:cs="Times New Roman"/>
          <w:i/>
          <w:iCs/>
          <w:sz w:val="20"/>
          <w:szCs w:val="20"/>
          <w:lang w:val="en-US" w:eastAsia="zh-CN" w:bidi="ar-SA"/>
        </w:rPr>
        <w:t>8 identified cells, and</w:t>
      </w:r>
    </w:p>
    <w:p w14:paraId="0D5477F8">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ab/>
      </w:r>
      <w:r>
        <w:rPr>
          <w:rFonts w:hint="eastAsia" w:ascii="Times New Roman" w:hAnsi="Times New Roman" w:eastAsia="宋体" w:cs="Times New Roman"/>
          <w:i/>
          <w:iCs/>
          <w:sz w:val="20"/>
          <w:szCs w:val="20"/>
          <w:lang w:val="en-US" w:eastAsia="zh-CN" w:bidi="ar-SA"/>
        </w:rPr>
        <w:t>8 SSBs with different SSB index and/or PCI on the intra-frequency layer, where the number of SSBs in the serving cell is not smaller than the number of configured RLM-RS SSB resources.</w:t>
      </w:r>
    </w:p>
    <w:p w14:paraId="094DAE5F">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ab/>
      </w:r>
      <w:r>
        <w:rPr>
          <w:rFonts w:hint="eastAsia" w:ascii="Times New Roman" w:hAnsi="Times New Roman" w:eastAsia="宋体" w:cs="Times New Roman"/>
          <w:i/>
          <w:iCs/>
          <w:sz w:val="20"/>
          <w:szCs w:val="20"/>
          <w:lang w:val="en-US" w:eastAsia="zh-CN" w:bidi="ar-SA"/>
        </w:rPr>
        <w:t>4 SSBs with different SSB index and/or PCI from neighbour cells in GEO deployment.</w:t>
      </w:r>
    </w:p>
    <w:p w14:paraId="43E97CAC">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ab/>
      </w:r>
      <w:r>
        <w:rPr>
          <w:rFonts w:hint="eastAsia" w:ascii="Times New Roman" w:hAnsi="Times New Roman" w:eastAsia="宋体" w:cs="Times New Roman"/>
          <w:i/>
          <w:iCs/>
          <w:sz w:val="20"/>
          <w:szCs w:val="20"/>
          <w:lang w:val="en-US" w:eastAsia="zh-CN" w:bidi="ar-SA"/>
        </w:rPr>
        <w:t>In NGSO deployments: cells from 2 satellites including the satellite serving the PCell if UE does not support the capability maxNumber-NGSO-SatellitesPerCarrier-r17; or cells from 3 or 4 satellites satellites including the satellite serving the PCell, depending on the value indicated in maxNumber-NGSO-SatellitesPerCarrier-r17.</w:t>
      </w:r>
    </w:p>
    <w:p w14:paraId="061210C6">
      <w:pPr>
        <w:keepNext w:val="0"/>
        <w:keepLines w:val="0"/>
        <w:pageBreakBefore w:val="0"/>
        <w:widowControl/>
        <w:numPr>
          <w:ilvl w:val="0"/>
          <w:numId w:val="0"/>
        </w:numPr>
        <w:kinsoku/>
        <w:wordWrap/>
        <w:overflowPunct/>
        <w:topLinePunct w:val="0"/>
        <w:autoSpaceDE/>
        <w:autoSpaceDN/>
        <w:bidi w:val="0"/>
        <w:adjustRightInd/>
        <w:snapToGrid/>
        <w:spacing w:before="60" w:after="60"/>
        <w:contextualSpacing w:val="0"/>
        <w:textAlignment w:val="auto"/>
        <w:rPr>
          <w:rFonts w:hint="eastAsia"/>
          <w:kern w:val="2"/>
          <w:sz w:val="20"/>
          <w:szCs w:val="20"/>
          <w:lang w:val="en-US" w:eastAsia="zh-CN"/>
        </w:rPr>
      </w:pPr>
      <w:bookmarkStart w:id="17" w:name="OLE_LINK13"/>
      <w:r>
        <w:rPr>
          <w:rFonts w:hint="eastAsia"/>
          <w:kern w:val="2"/>
          <w:sz w:val="20"/>
          <w:szCs w:val="20"/>
          <w:lang w:val="en-US" w:eastAsia="zh-CN"/>
        </w:rPr>
        <w:t>Since the network scenario is unchanged, it is still important to guarantee at least 2 target satellites including serving LEO satellite and neighbour LEO satellite(s) will be monitored.  Therefore, the baseline capability should be 2 satellites per carrier, same as legacy UE capability. For the UE capability of number of cells and SSB, we also think the NR NTN requirement can be reused.</w:t>
      </w:r>
    </w:p>
    <w:p w14:paraId="2A037907">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bookmarkStart w:id="18" w:name="OLE_LINK20"/>
      <w:r>
        <w:rPr>
          <w:rFonts w:eastAsia="等线"/>
          <w:b/>
          <w:bCs/>
          <w:i/>
          <w:iCs/>
          <w:sz w:val="20"/>
          <w:szCs w:val="20"/>
        </w:rPr>
        <w:t xml:space="preserve">Proposal </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lang w:val="en-US" w:eastAsia="zh-CN"/>
        </w:rPr>
        <w:t>For both intra-frequency measurement and inter-frequency measurement, the number of cells and SSBs can be reused, the number of supported satellites and related UE capability can be reused.</w:t>
      </w:r>
    </w:p>
    <w:bookmarkEnd w:id="17"/>
    <w:bookmarkEnd w:id="18"/>
    <w:p w14:paraId="7CE86541">
      <w:pPr>
        <w:keepNext w:val="0"/>
        <w:keepLines w:val="0"/>
        <w:pageBreakBefore w:val="0"/>
        <w:widowControl/>
        <w:numPr>
          <w:ilvl w:val="0"/>
          <w:numId w:val="0"/>
        </w:numPr>
        <w:kinsoku/>
        <w:wordWrap/>
        <w:overflowPunct/>
        <w:topLinePunct w:val="0"/>
        <w:autoSpaceDE/>
        <w:autoSpaceDN/>
        <w:bidi w:val="0"/>
        <w:adjustRightInd/>
        <w:snapToGrid/>
        <w:spacing w:before="60" w:after="60"/>
        <w:contextualSpacing w:val="0"/>
        <w:textAlignment w:val="auto"/>
        <w:rPr>
          <w:rFonts w:hint="default"/>
          <w:kern w:val="2"/>
          <w:sz w:val="20"/>
          <w:szCs w:val="20"/>
          <w:lang w:val="en-US" w:eastAsia="zh-CN"/>
        </w:rPr>
      </w:pPr>
    </w:p>
    <w:p w14:paraId="43C8FA3F">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1-2-3-5: Feature 25-3(parallelMeasurementGap)</w:t>
      </w:r>
    </w:p>
    <w:p w14:paraId="0521BBBD">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none"/>
          <w:lang w:val="en-US" w:eastAsia="zh-CN"/>
        </w:rPr>
      </w:pPr>
      <w:r>
        <w:rPr>
          <w:rFonts w:hint="eastAsia"/>
          <w:b/>
          <w:i/>
          <w:iCs/>
          <w:sz w:val="20"/>
          <w:szCs w:val="20"/>
          <w:highlight w:val="none"/>
          <w:u w:val="none"/>
          <w:lang w:val="en-US" w:eastAsia="ko-KR"/>
        </w:rPr>
        <w:t>&lt;Way Forward&gt;</w:t>
      </w:r>
      <w:r>
        <w:rPr>
          <w:rFonts w:hint="eastAsia"/>
          <w:b/>
          <w:i/>
          <w:iCs/>
          <w:sz w:val="20"/>
          <w:szCs w:val="20"/>
          <w:highlight w:val="none"/>
          <w:u w:val="none"/>
          <w:lang w:val="en-US" w:eastAsia="zh-CN"/>
        </w:rPr>
        <w:t>:</w:t>
      </w:r>
    </w:p>
    <w:p w14:paraId="7C7A4346">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For whether to define RRM requirements </w:t>
      </w:r>
      <w:bookmarkStart w:id="19" w:name="OLE_LINK14"/>
      <w:r>
        <w:rPr>
          <w:rFonts w:hint="eastAsia" w:ascii="Times New Roman" w:hAnsi="Times New Roman" w:eastAsia="宋体" w:cs="Times New Roman"/>
          <w:i/>
          <w:iCs/>
          <w:sz w:val="20"/>
          <w:szCs w:val="20"/>
          <w:lang w:val="en-US" w:eastAsia="zh-CN" w:bidi="ar-SA"/>
        </w:rPr>
        <w:t>for Feature 25-3(parallelMeasurementGap-r17)</w:t>
      </w:r>
      <w:bookmarkEnd w:id="19"/>
      <w:r>
        <w:rPr>
          <w:rFonts w:hint="eastAsia" w:ascii="Times New Roman" w:hAnsi="Times New Roman" w:eastAsia="宋体" w:cs="Times New Roman"/>
          <w:i/>
          <w:iCs/>
          <w:sz w:val="20"/>
          <w:szCs w:val="20"/>
          <w:lang w:val="en-US" w:eastAsia="zh-CN" w:bidi="ar-SA"/>
        </w:rPr>
        <w:t xml:space="preserve"> for (e)RedCap UEs,</w:t>
      </w:r>
    </w:p>
    <w:p w14:paraId="01A8282B">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 Support to define.</w:t>
      </w:r>
    </w:p>
    <w:p w14:paraId="143B9D0D">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1a: The UE capability is applicable, and the support of the optional features is left to UE implementation following the same principle of the existing non-RedCap requirements.</w:t>
      </w:r>
    </w:p>
    <w:p w14:paraId="5F941B37">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pPr>
      <w:r>
        <w:rPr>
          <w:rFonts w:hint="eastAsia" w:ascii="Times New Roman" w:hAnsi="Times New Roman" w:eastAsia="宋体" w:cs="Times New Roman"/>
          <w:i/>
          <w:iCs/>
          <w:sz w:val="20"/>
          <w:szCs w:val="20"/>
          <w:lang w:val="en-US" w:eastAsia="zh-CN" w:bidi="ar-SA"/>
        </w:rPr>
        <w:t>Proposal 1b: The capability can be optionally supported by (e)RedCap UEs with 2Rx, can not be supported by (e)RedCap UEs with 1Rx.</w:t>
      </w:r>
      <w:r>
        <w:rPr>
          <w:rFonts w:hint="eastAsia"/>
        </w:rPr>
        <w:t xml:space="preserve"> </w:t>
      </w:r>
    </w:p>
    <w:p w14:paraId="57DD187A">
      <w:pPr>
        <w:keepNext w:val="0"/>
        <w:keepLines w:val="0"/>
        <w:pageBreakBefore w:val="0"/>
        <w:widowControl/>
        <w:numPr>
          <w:ilvl w:val="0"/>
          <w:numId w:val="0"/>
        </w:numPr>
        <w:kinsoku/>
        <w:wordWrap/>
        <w:overflowPunct/>
        <w:topLinePunct w:val="0"/>
        <w:autoSpaceDE/>
        <w:autoSpaceDN/>
        <w:bidi w:val="0"/>
        <w:adjustRightInd/>
        <w:snapToGrid/>
        <w:spacing w:before="60" w:after="60"/>
        <w:contextualSpacing w:val="0"/>
        <w:jc w:val="both"/>
        <w:textAlignment w:val="auto"/>
        <w:rPr>
          <w:rFonts w:hint="eastAsia"/>
          <w:kern w:val="2"/>
          <w:sz w:val="20"/>
          <w:szCs w:val="20"/>
          <w:lang w:val="en-US" w:eastAsia="zh-CN"/>
        </w:rPr>
      </w:pPr>
      <w:r>
        <w:rPr>
          <w:rFonts w:hint="eastAsia"/>
          <w:kern w:val="2"/>
          <w:sz w:val="20"/>
          <w:szCs w:val="20"/>
          <w:lang w:val="en-US" w:eastAsia="zh-CN"/>
        </w:rPr>
        <w:t>Similar as other UE capabilities, since it is optional feature, whether to support it or not can be left to UE implementation.</w:t>
      </w:r>
    </w:p>
    <w:p w14:paraId="4B5A327D">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bookmarkStart w:id="20" w:name="OLE_LINK28"/>
      <w:r>
        <w:rPr>
          <w:rFonts w:eastAsia="等线"/>
          <w:b/>
          <w:bCs/>
          <w:i/>
          <w:iCs/>
          <w:sz w:val="20"/>
          <w:szCs w:val="20"/>
        </w:rPr>
        <w:t xml:space="preserve">Proposal </w:t>
      </w:r>
      <w:r>
        <w:rPr>
          <w:rFonts w:hint="eastAsia" w:eastAsia="等线"/>
          <w:b/>
          <w:bCs/>
          <w:i/>
          <w:iCs/>
          <w:sz w:val="20"/>
          <w:szCs w:val="20"/>
          <w:lang w:val="en-US" w:eastAsia="zh-CN"/>
        </w:rPr>
        <w:t>5</w:t>
      </w:r>
      <w:r>
        <w:rPr>
          <w:rFonts w:eastAsia="等线"/>
          <w:b/>
          <w:bCs/>
          <w:i/>
          <w:iCs/>
          <w:sz w:val="20"/>
          <w:szCs w:val="20"/>
        </w:rPr>
        <w:t xml:space="preserve">: </w:t>
      </w:r>
      <w:r>
        <w:rPr>
          <w:rFonts w:hint="eastAsia" w:eastAsia="等线"/>
          <w:b/>
          <w:bCs/>
          <w:i/>
          <w:iCs/>
          <w:sz w:val="20"/>
          <w:szCs w:val="20"/>
          <w:lang w:val="en-US" w:eastAsia="zh-CN"/>
        </w:rPr>
        <w:t>Optional feature 25-3(parallelMeasurementGap-r17) is applicable for (e)Redcap UE, the requirement definition can follow the same principle of the existing NR NTN requirements.</w:t>
      </w:r>
    </w:p>
    <w:bookmarkEnd w:id="20"/>
    <w:p w14:paraId="5DA106F9">
      <w:pPr>
        <w:keepNext w:val="0"/>
        <w:keepLines w:val="0"/>
        <w:pageBreakBefore w:val="0"/>
        <w:widowControl/>
        <w:numPr>
          <w:ilvl w:val="0"/>
          <w:numId w:val="0"/>
        </w:numPr>
        <w:kinsoku/>
        <w:wordWrap/>
        <w:overflowPunct/>
        <w:topLinePunct w:val="0"/>
        <w:autoSpaceDE/>
        <w:autoSpaceDN/>
        <w:bidi w:val="0"/>
        <w:adjustRightInd/>
        <w:snapToGrid/>
        <w:spacing w:before="60" w:after="60"/>
        <w:contextualSpacing w:val="0"/>
        <w:textAlignment w:val="auto"/>
        <w:rPr>
          <w:rFonts w:hint="eastAsia"/>
        </w:rPr>
      </w:pPr>
    </w:p>
    <w:p w14:paraId="78A2080C">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1-2-6: NCD-SSB</w:t>
      </w:r>
    </w:p>
    <w:p w14:paraId="34028557">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none"/>
          <w:lang w:val="en-US" w:eastAsia="zh-CN"/>
        </w:rPr>
      </w:pPr>
      <w:r>
        <w:rPr>
          <w:rFonts w:hint="eastAsia"/>
          <w:b/>
          <w:i/>
          <w:iCs/>
          <w:sz w:val="20"/>
          <w:szCs w:val="20"/>
          <w:highlight w:val="none"/>
          <w:u w:val="none"/>
          <w:lang w:val="en-US" w:eastAsia="ko-KR"/>
        </w:rPr>
        <w:t>&lt;Way Forward&gt;</w:t>
      </w:r>
      <w:r>
        <w:rPr>
          <w:rFonts w:hint="eastAsia"/>
          <w:b/>
          <w:i/>
          <w:iCs/>
          <w:sz w:val="20"/>
          <w:szCs w:val="20"/>
          <w:highlight w:val="none"/>
          <w:u w:val="none"/>
          <w:lang w:val="en-US" w:eastAsia="zh-CN"/>
        </w:rPr>
        <w:t>:</w:t>
      </w:r>
    </w:p>
    <w:p w14:paraId="0B7C35BD">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1: </w:t>
      </w:r>
    </w:p>
    <w:p w14:paraId="102CAD1F">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Use the terminology of SSB without differentiating CD-SSB/NCD-SSB, and add a clarification in a separate clause that the requirements are only applicable to CD-SSB.</w:t>
      </w:r>
    </w:p>
    <w:p w14:paraId="507445E5">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2: </w:t>
      </w:r>
    </w:p>
    <w:p w14:paraId="6DF17899">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Use the terminology of SSB without differentiating CD-SSB/NCD-SSB, no need to add additional requirement applicability about CD-SSB/NCD-SSB. </w:t>
      </w:r>
    </w:p>
    <w:p w14:paraId="1D14B40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In our perspective, both Proposal 1 and Proposal 2 means that the requirements are defined with the assumption that SSB is CD-SSB. We can go either way.</w:t>
      </w:r>
    </w:p>
    <w:p w14:paraId="4E6D526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i/>
          <w:iCs/>
          <w:sz w:val="20"/>
          <w:szCs w:val="20"/>
          <w:highlight w:val="none"/>
          <w:u w:val="single"/>
          <w:lang w:val="en-US" w:eastAsia="zh-CN"/>
        </w:rPr>
      </w:pPr>
      <w:r>
        <w:rPr>
          <w:rFonts w:hint="eastAsia"/>
          <w:b/>
          <w:bCs/>
          <w:i/>
          <w:iCs/>
          <w:sz w:val="20"/>
          <w:szCs w:val="20"/>
          <w:lang w:val="en-US" w:eastAsia="zh-CN"/>
        </w:rPr>
        <w:t>Proposal 6: No strong view about whether to add additional requirement applicability about CD-SSB/NCD-SSB.</w:t>
      </w:r>
    </w:p>
    <w:p w14:paraId="1095BBDF">
      <w:pPr>
        <w:keepNext w:val="0"/>
        <w:keepLines w:val="0"/>
        <w:pageBreakBefore w:val="0"/>
        <w:widowControl/>
        <w:numPr>
          <w:ilvl w:val="0"/>
          <w:numId w:val="0"/>
        </w:numPr>
        <w:kinsoku/>
        <w:wordWrap/>
        <w:overflowPunct/>
        <w:topLinePunct w:val="0"/>
        <w:autoSpaceDE/>
        <w:autoSpaceDN/>
        <w:bidi w:val="0"/>
        <w:adjustRightInd/>
        <w:snapToGrid/>
        <w:spacing w:before="60" w:after="60"/>
        <w:contextualSpacing w:val="0"/>
        <w:textAlignment w:val="auto"/>
        <w:rPr>
          <w:rFonts w:hint="eastAsia" w:ascii="Times New Roman" w:hAnsi="Times New Roman" w:eastAsia="宋体" w:cs="Times New Roman"/>
          <w:i/>
          <w:iCs/>
          <w:sz w:val="20"/>
          <w:szCs w:val="20"/>
          <w:lang w:val="en-US" w:eastAsia="zh-CN" w:bidi="ar-SA"/>
        </w:rPr>
      </w:pPr>
    </w:p>
    <w:p w14:paraId="25C72FE3">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1-2-7: Other features</w:t>
      </w:r>
    </w:p>
    <w:p w14:paraId="56A24B9B">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none"/>
          <w:lang w:val="en-US" w:eastAsia="zh-CN"/>
        </w:rPr>
      </w:pPr>
      <w:r>
        <w:rPr>
          <w:rFonts w:hint="eastAsia"/>
          <w:b/>
          <w:i/>
          <w:iCs/>
          <w:sz w:val="20"/>
          <w:szCs w:val="20"/>
          <w:highlight w:val="none"/>
          <w:u w:val="none"/>
          <w:lang w:val="en-US" w:eastAsia="ko-KR"/>
        </w:rPr>
        <w:t>&lt;Way Forward&gt;</w:t>
      </w:r>
      <w:r>
        <w:rPr>
          <w:rFonts w:hint="eastAsia"/>
          <w:b/>
          <w:i/>
          <w:iCs/>
          <w:sz w:val="20"/>
          <w:szCs w:val="20"/>
          <w:highlight w:val="none"/>
          <w:u w:val="none"/>
          <w:lang w:val="en-US" w:eastAsia="zh-CN"/>
        </w:rPr>
        <w:t>:</w:t>
      </w:r>
    </w:p>
    <w:p w14:paraId="77F2816F">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SMTC adjustment in idle/inactive,</w:t>
      </w:r>
    </w:p>
    <w:p w14:paraId="4D0DC065">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1: Keep mandatory for RedCap UE.</w:t>
      </w:r>
    </w:p>
    <w:p w14:paraId="06D9AE36">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2: Keep optional for RedCap UE.</w:t>
      </w:r>
    </w:p>
    <w:p w14:paraId="62A0CD02">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Location-based measurement trigger,</w:t>
      </w:r>
    </w:p>
    <w:p w14:paraId="49BD9EFA">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1: Keep optional for RedCap UE.</w:t>
      </w:r>
    </w:p>
    <w:p w14:paraId="6A0918A9">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ja-JP" w:bidi="ar-SA"/>
        </w:rPr>
      </w:pPr>
      <w:r>
        <w:rPr>
          <w:rFonts w:hint="eastAsia" w:ascii="Times New Roman" w:hAnsi="Times New Roman" w:eastAsia="宋体" w:cs="Times New Roman"/>
          <w:i/>
          <w:iCs/>
          <w:sz w:val="20"/>
          <w:szCs w:val="20"/>
          <w:lang w:val="en-US" w:eastAsia="zh-CN" w:bidi="ar-SA"/>
        </w:rPr>
        <w:t xml:space="preserve">Option 2: RAN4 not to further discuss applicability of location-based measurement report trigger. </w:t>
      </w:r>
    </w:p>
    <w:p w14:paraId="701E5FD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For information, the UE capability of SMTC adjustment in IDLE/Inactive is optional.</w:t>
      </w:r>
    </w:p>
    <w:tbl>
      <w:tblPr>
        <w:tblStyle w:val="20"/>
        <w:tblW w:w="9184"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951"/>
        <w:gridCol w:w="4106"/>
        <w:gridCol w:w="2368"/>
      </w:tblGrid>
      <w:tr w14:paraId="3F5CB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759" w:type="dxa"/>
            <w:tcBorders>
              <w:top w:val="single" w:color="auto" w:sz="4" w:space="0"/>
              <w:left w:val="single" w:color="auto" w:sz="4" w:space="0"/>
              <w:bottom w:val="single" w:color="auto" w:sz="4" w:space="0"/>
              <w:right w:val="single" w:color="auto" w:sz="4" w:space="0"/>
            </w:tcBorders>
          </w:tcPr>
          <w:p w14:paraId="4B07C27C">
            <w:pPr>
              <w:keepNext/>
              <w:keepLines/>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sz w:val="18"/>
              </w:rPr>
            </w:pPr>
            <w:r>
              <w:rPr>
                <w:rFonts w:hint="default" w:ascii="Times New Roman" w:hAnsi="Times New Roman" w:cs="Times New Roman"/>
                <w:sz w:val="18"/>
              </w:rPr>
              <w:t>34-11</w:t>
            </w:r>
          </w:p>
        </w:tc>
        <w:tc>
          <w:tcPr>
            <w:tcW w:w="1951" w:type="dxa"/>
            <w:tcBorders>
              <w:top w:val="single" w:color="auto" w:sz="4" w:space="0"/>
              <w:left w:val="single" w:color="auto" w:sz="4" w:space="0"/>
              <w:bottom w:val="single" w:color="auto" w:sz="4" w:space="0"/>
              <w:right w:val="single" w:color="auto" w:sz="4" w:space="0"/>
            </w:tcBorders>
          </w:tcPr>
          <w:p w14:paraId="03BCDD0D">
            <w:pPr>
              <w:keepNext/>
              <w:keepLines/>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sz w:val="18"/>
              </w:rPr>
            </w:pPr>
            <w:r>
              <w:rPr>
                <w:rFonts w:hint="default" w:ascii="Times New Roman" w:hAnsi="Times New Roman" w:eastAsia="MS Mincho" w:cs="Times New Roman"/>
                <w:sz w:val="18"/>
                <w:szCs w:val="24"/>
                <w:lang w:eastAsia="en-GB"/>
              </w:rPr>
              <w:t>SMTC adjustment in idle/inactive</w:t>
            </w:r>
          </w:p>
        </w:tc>
        <w:tc>
          <w:tcPr>
            <w:tcW w:w="4106" w:type="dxa"/>
            <w:tcBorders>
              <w:top w:val="single" w:color="auto" w:sz="4" w:space="0"/>
              <w:left w:val="single" w:color="auto" w:sz="4" w:space="0"/>
              <w:bottom w:val="single" w:color="auto" w:sz="4" w:space="0"/>
              <w:right w:val="single" w:color="auto" w:sz="4" w:space="0"/>
            </w:tcBorders>
          </w:tcPr>
          <w:p w14:paraId="7F78F291">
            <w:pPr>
              <w:keepNext/>
              <w:keepLines/>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sz w:val="18"/>
                <w:lang w:eastAsia="zh-CN"/>
              </w:rPr>
            </w:pPr>
            <w:r>
              <w:rPr>
                <w:rFonts w:hint="default" w:ascii="Times New Roman" w:hAnsi="Times New Roman" w:cs="Times New Roman"/>
                <w:sz w:val="18"/>
                <w:lang w:eastAsia="zh-CN"/>
              </w:rPr>
              <w:t>It's optional for UE to perform SMTC adjustment in RRC_IDLE/RRC_INACTIVE</w:t>
            </w:r>
          </w:p>
        </w:tc>
        <w:tc>
          <w:tcPr>
            <w:tcW w:w="2368" w:type="dxa"/>
            <w:tcBorders>
              <w:top w:val="single" w:color="auto" w:sz="4" w:space="0"/>
              <w:left w:val="single" w:color="auto" w:sz="4" w:space="0"/>
              <w:bottom w:val="single" w:color="auto" w:sz="4" w:space="0"/>
              <w:right w:val="single" w:color="auto" w:sz="4" w:space="0"/>
            </w:tcBorders>
          </w:tcPr>
          <w:p w14:paraId="4D9A9BED">
            <w:pPr>
              <w:keepNext/>
              <w:keepLines/>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sz w:val="18"/>
                <w:szCs w:val="18"/>
                <w:lang w:eastAsia="zh-CN"/>
              </w:rPr>
            </w:pPr>
            <w:r>
              <w:rPr>
                <w:rFonts w:hint="default" w:ascii="Times New Roman" w:hAnsi="Times New Roman" w:eastAsia="Malgun Gothic" w:cs="Times New Roman"/>
                <w:sz w:val="18"/>
                <w:lang w:eastAsia="en-US"/>
              </w:rPr>
              <w:t>Optional without capability signalling</w:t>
            </w:r>
          </w:p>
        </w:tc>
      </w:tr>
    </w:tbl>
    <w:p w14:paraId="070CCB1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For the optional NTN features below which have impact on RAN4 requirements, we think they can also be optionally supported by Redcap UE.</w:t>
      </w:r>
    </w:p>
    <w:p w14:paraId="6A41FBC9">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b w:val="0"/>
          <w:bCs w:val="0"/>
          <w:i w:val="0"/>
          <w:iCs w:val="0"/>
          <w:sz w:val="20"/>
          <w:szCs w:val="20"/>
          <w:lang w:val="en-US" w:eastAsia="en-GB"/>
        </w:rPr>
      </w:pPr>
      <w:bookmarkStart w:id="21" w:name="OLE_LINK15"/>
      <w:r>
        <w:rPr>
          <w:rFonts w:hint="eastAsia"/>
          <w:b w:val="0"/>
          <w:bCs w:val="0"/>
          <w:i w:val="0"/>
          <w:iCs w:val="0"/>
          <w:sz w:val="20"/>
          <w:szCs w:val="20"/>
          <w:lang w:val="en-US" w:eastAsia="en-GB"/>
        </w:rPr>
        <w:t>SMTC adjustment in idle/inactive</w:t>
      </w:r>
      <w:bookmarkEnd w:id="21"/>
    </w:p>
    <w:p w14:paraId="625343EA">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Location-based measurement report trigger</w:t>
      </w:r>
    </w:p>
    <w:p w14:paraId="3189B37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7: For the optional NTN features which have impact on RAN4 requirements, they can also be optionally supported by Redcap UE.</w:t>
      </w:r>
    </w:p>
    <w:p w14:paraId="00B974BB">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b/>
          <w:bCs/>
          <w:i/>
          <w:iCs/>
          <w:sz w:val="20"/>
          <w:szCs w:val="20"/>
          <w:lang w:val="en-US" w:eastAsia="en-GB"/>
        </w:rPr>
      </w:pPr>
      <w:r>
        <w:rPr>
          <w:rFonts w:hint="eastAsia"/>
          <w:b/>
          <w:bCs/>
          <w:i/>
          <w:iCs/>
          <w:sz w:val="20"/>
          <w:szCs w:val="20"/>
          <w:lang w:val="en-US" w:eastAsia="en-GB"/>
        </w:rPr>
        <w:t>SMTC adjustment in idle/inactive</w:t>
      </w:r>
    </w:p>
    <w:p w14:paraId="083DB526">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b/>
          <w:i/>
          <w:iCs/>
          <w:sz w:val="20"/>
          <w:szCs w:val="20"/>
          <w:highlight w:val="none"/>
          <w:u w:val="single"/>
          <w:lang w:val="en-US" w:eastAsia="zh-CN"/>
        </w:rPr>
      </w:pPr>
      <w:r>
        <w:rPr>
          <w:rFonts w:hint="eastAsia"/>
          <w:b/>
          <w:bCs/>
          <w:i/>
          <w:iCs/>
          <w:sz w:val="20"/>
          <w:szCs w:val="20"/>
          <w:lang w:val="en-US" w:eastAsia="en-GB"/>
        </w:rPr>
        <w:t>Location-based measurement report trigger</w:t>
      </w:r>
    </w:p>
    <w:p w14:paraId="1026F6EB">
      <w:pPr>
        <w:outlineLvl w:val="9"/>
        <w:rPr>
          <w:rFonts w:hint="default"/>
          <w:b/>
          <w:i/>
          <w:iCs/>
          <w:sz w:val="20"/>
          <w:szCs w:val="20"/>
          <w:highlight w:val="none"/>
          <w:u w:val="single"/>
          <w:lang w:val="en-US" w:eastAsia="zh-CN"/>
        </w:rPr>
      </w:pPr>
    </w:p>
    <w:p w14:paraId="39962261">
      <w:pPr>
        <w:pStyle w:val="2"/>
        <w:numPr>
          <w:ilvl w:val="0"/>
          <w:numId w:val="5"/>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zh-CN"/>
        </w:rPr>
      </w:pPr>
      <w:r>
        <w:rPr>
          <w:rFonts w:hint="eastAsia" w:ascii="Times New Roman" w:hAnsi="Times New Roman"/>
          <w:b w:val="0"/>
          <w:bCs w:val="0"/>
          <w:kern w:val="0"/>
          <w:sz w:val="36"/>
          <w:szCs w:val="36"/>
          <w:lang w:val="en-US" w:eastAsia="zh-CN"/>
        </w:rPr>
        <w:t>Reduction in the number of UE Rx branches</w:t>
      </w:r>
    </w:p>
    <w:p w14:paraId="5BB8496A">
      <w:pPr>
        <w:pStyle w:val="3"/>
        <w:numPr>
          <w:ilvl w:val="1"/>
          <w:numId w:val="5"/>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RRC_IDLE/RRC_INACTIVE mode mobility </w:t>
      </w:r>
    </w:p>
    <w:p w14:paraId="63F099E4">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2-1-1: Enhanced cell reselection measurement requirements for 1Rx/2Rx (e)RedCap UE with FR1-NTN</w:t>
      </w:r>
    </w:p>
    <w:p w14:paraId="0419830F">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none"/>
          <w:lang w:val="en-US" w:eastAsia="zh-CN"/>
        </w:rPr>
      </w:pPr>
      <w:r>
        <w:rPr>
          <w:rFonts w:hint="eastAsia"/>
          <w:b/>
          <w:i/>
          <w:iCs/>
          <w:sz w:val="20"/>
          <w:szCs w:val="20"/>
          <w:highlight w:val="none"/>
          <w:u w:val="none"/>
          <w:lang w:val="en-US" w:eastAsia="ko-KR"/>
        </w:rPr>
        <w:t>&lt;Way Forward&gt;</w:t>
      </w:r>
      <w:r>
        <w:rPr>
          <w:rFonts w:hint="eastAsia"/>
          <w:b/>
          <w:i/>
          <w:iCs/>
          <w:sz w:val="20"/>
          <w:szCs w:val="20"/>
          <w:highlight w:val="none"/>
          <w:u w:val="none"/>
          <w:lang w:val="en-US" w:eastAsia="zh-CN"/>
        </w:rPr>
        <w:t>:</w:t>
      </w:r>
    </w:p>
    <w:p w14:paraId="0C77D1BC">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 Enhanced RRM requirements for measurements in IDLE and INACTIVE modes are kept optional in Redcap over NTN.</w:t>
      </w:r>
    </w:p>
    <w:p w14:paraId="76A4EFDD">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1a: Define enhanced cell reselection measurement requirement for RedCap UE not configured with eDRX_IDLE cycle, the requirement for normal UEs can be reused.</w:t>
      </w:r>
    </w:p>
    <w:p w14:paraId="1A0AF722">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1b: To define enhanced cell reselection requirements for RedCap UE,</w:t>
      </w:r>
    </w:p>
    <w:p w14:paraId="2874F1D0">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bCs/>
          <w:i/>
          <w:iCs/>
          <w:sz w:val="20"/>
          <w:szCs w:val="20"/>
        </w:rPr>
      </w:pPr>
      <w:r>
        <w:rPr>
          <w:bCs/>
          <w:i/>
          <w:iCs/>
          <w:sz w:val="20"/>
          <w:szCs w:val="20"/>
        </w:rPr>
        <w:t>Re-use the requirements for normal UE except that T</w:t>
      </w:r>
      <w:r>
        <w:rPr>
          <w:bCs/>
          <w:i/>
          <w:iCs/>
          <w:sz w:val="20"/>
          <w:szCs w:val="20"/>
          <w:vertAlign w:val="subscript"/>
        </w:rPr>
        <w:t>detect</w:t>
      </w:r>
      <w:r>
        <w:rPr>
          <w:bCs/>
          <w:i/>
          <w:iCs/>
          <w:sz w:val="20"/>
          <w:szCs w:val="20"/>
        </w:rPr>
        <w:t xml:space="preserve"> is extended by [2] samples</w:t>
      </w:r>
    </w:p>
    <w:p w14:paraId="12C1C346">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r>
        <w:rPr>
          <w:i/>
          <w:iCs/>
          <w:sz w:val="20"/>
          <w:szCs w:val="20"/>
        </w:rPr>
        <w:t>Same delay requirements for 1Rx and 2Rx UEs.</w:t>
      </w:r>
    </w:p>
    <w:p w14:paraId="5C19A9AE">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1c: </w:t>
      </w:r>
    </w:p>
    <w:p w14:paraId="2205DB63">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bCs/>
          <w:i/>
          <w:iCs/>
          <w:sz w:val="20"/>
          <w:szCs w:val="20"/>
        </w:rPr>
      </w:pPr>
      <w:r>
        <w:rPr>
          <w:rFonts w:hint="eastAsia"/>
          <w:bCs/>
          <w:i/>
          <w:iCs/>
          <w:sz w:val="20"/>
          <w:szCs w:val="20"/>
        </w:rPr>
        <w:t>F</w:t>
      </w:r>
      <w:r>
        <w:rPr>
          <w:bCs/>
          <w:i/>
          <w:iCs/>
          <w:sz w:val="20"/>
          <w:szCs w:val="20"/>
        </w:rPr>
        <w:t>or 2 Rx (e)RedCap NTN UE, RAN4 to reuse the existing enhanced cell reselection measurement requirements</w:t>
      </w:r>
    </w:p>
    <w:p w14:paraId="781BCD41">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bCs/>
          <w:i/>
          <w:iCs/>
          <w:sz w:val="20"/>
          <w:szCs w:val="20"/>
        </w:rPr>
      </w:pPr>
      <w:r>
        <w:rPr>
          <w:bCs/>
          <w:i/>
          <w:iCs/>
          <w:sz w:val="20"/>
          <w:szCs w:val="20"/>
        </w:rPr>
        <w:t xml:space="preserve">For 1 Rx (e)RedCap NTN UE, RAN4 to </w:t>
      </w:r>
    </w:p>
    <w:p w14:paraId="149D357B">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bCs/>
          <w:i/>
          <w:iCs/>
          <w:sz w:val="20"/>
          <w:szCs w:val="20"/>
        </w:rPr>
      </w:pPr>
      <w:r>
        <w:rPr>
          <w:rFonts w:hint="eastAsia"/>
          <w:bCs/>
          <w:i/>
          <w:iCs/>
          <w:sz w:val="20"/>
          <w:szCs w:val="20"/>
          <w:lang w:eastAsia="zh-CN"/>
        </w:rPr>
        <w:t xml:space="preserve">  </w:t>
      </w:r>
      <w:r>
        <w:rPr>
          <w:rFonts w:hint="eastAsia"/>
          <w:bCs/>
          <w:i/>
          <w:iCs/>
          <w:sz w:val="20"/>
          <w:szCs w:val="20"/>
        </w:rPr>
        <w:t>O</w:t>
      </w:r>
      <w:r>
        <w:rPr>
          <w:bCs/>
          <w:i/>
          <w:iCs/>
          <w:sz w:val="20"/>
          <w:szCs w:val="20"/>
        </w:rPr>
        <w:t>ption 1:</w:t>
      </w:r>
      <w:r>
        <w:rPr>
          <w:rFonts w:hint="eastAsia"/>
          <w:bCs/>
          <w:i/>
          <w:iCs/>
          <w:sz w:val="20"/>
          <w:szCs w:val="20"/>
        </w:rPr>
        <w:t xml:space="preserve"> </w:t>
      </w:r>
      <w:r>
        <w:rPr>
          <w:bCs/>
          <w:i/>
          <w:iCs/>
          <w:sz w:val="20"/>
          <w:szCs w:val="20"/>
        </w:rPr>
        <w:t>Reuse the existing enhanced cell reselection measurement requirements</w:t>
      </w:r>
    </w:p>
    <w:p w14:paraId="24BA322A">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bCs/>
          <w:i/>
          <w:iCs/>
          <w:sz w:val="20"/>
          <w:szCs w:val="20"/>
        </w:rPr>
      </w:pPr>
      <w:r>
        <w:rPr>
          <w:rFonts w:hint="eastAsia"/>
          <w:bCs/>
          <w:i/>
          <w:iCs/>
          <w:sz w:val="20"/>
          <w:szCs w:val="20"/>
          <w:lang w:eastAsia="zh-CN"/>
        </w:rPr>
        <w:t xml:space="preserve"> </w:t>
      </w:r>
      <w:r>
        <w:rPr>
          <w:rFonts w:hint="eastAsia"/>
          <w:bCs/>
          <w:i/>
          <w:iCs/>
          <w:sz w:val="20"/>
          <w:szCs w:val="20"/>
        </w:rPr>
        <w:t>O</w:t>
      </w:r>
      <w:r>
        <w:rPr>
          <w:bCs/>
          <w:i/>
          <w:iCs/>
          <w:sz w:val="20"/>
          <w:szCs w:val="20"/>
        </w:rPr>
        <w:t>ption 2: Consider increasing measurement samples based on the current cell reselection measurement enhanced requirements. The actual number of samples can be further determined</w:t>
      </w:r>
      <w:r>
        <w:rPr>
          <w:rFonts w:hint="eastAsia"/>
          <w:bCs/>
          <w:i/>
          <w:iCs/>
          <w:sz w:val="20"/>
          <w:szCs w:val="20"/>
        </w:rPr>
        <w:t>.</w:t>
      </w:r>
    </w:p>
    <w:p w14:paraId="691AD959">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1d: For enhanced cell re-selection for (e)RedCap UE with FR1-NTN bands, </w:t>
      </w:r>
    </w:p>
    <w:p w14:paraId="5087426C">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bCs/>
          <w:i/>
          <w:iCs/>
          <w:sz w:val="20"/>
          <w:szCs w:val="20"/>
          <w:lang w:val="en-GB"/>
        </w:rPr>
      </w:pPr>
      <w:r>
        <w:rPr>
          <w:rFonts w:hint="eastAsia"/>
          <w:bCs/>
          <w:i/>
          <w:iCs/>
          <w:sz w:val="20"/>
          <w:szCs w:val="20"/>
          <w:lang w:val="en-GB"/>
        </w:rPr>
        <w:t>F</w:t>
      </w:r>
      <w:r>
        <w:rPr>
          <w:bCs/>
          <w:i/>
          <w:iCs/>
          <w:sz w:val="20"/>
          <w:szCs w:val="20"/>
          <w:lang w:val="en-GB"/>
        </w:rPr>
        <w:t>or 2Rx/1Rx, the T</w:t>
      </w:r>
      <w:r>
        <w:rPr>
          <w:bCs/>
          <w:i/>
          <w:iCs/>
          <w:sz w:val="20"/>
          <w:szCs w:val="20"/>
          <w:vertAlign w:val="subscript"/>
          <w:lang w:val="en-GB"/>
        </w:rPr>
        <w:t>detect,NR_Intra_enh,</w:t>
      </w:r>
      <w:r>
        <w:rPr>
          <w:bCs/>
          <w:i/>
          <w:iCs/>
          <w:sz w:val="20"/>
          <w:szCs w:val="20"/>
          <w:lang w:val="en-GB"/>
        </w:rPr>
        <w:t xml:space="preserve"> T</w:t>
      </w:r>
      <w:r>
        <w:rPr>
          <w:bCs/>
          <w:i/>
          <w:iCs/>
          <w:sz w:val="20"/>
          <w:szCs w:val="20"/>
          <w:vertAlign w:val="subscript"/>
          <w:lang w:val="en-GB"/>
        </w:rPr>
        <w:t>measure,NR_Intra_enh</w:t>
      </w:r>
      <w:r>
        <w:rPr>
          <w:bCs/>
          <w:i/>
          <w:iCs/>
          <w:sz w:val="20"/>
          <w:szCs w:val="20"/>
          <w:lang w:val="en-GB"/>
        </w:rPr>
        <w:t xml:space="preserve"> and T</w:t>
      </w:r>
      <w:r>
        <w:rPr>
          <w:bCs/>
          <w:i/>
          <w:iCs/>
          <w:sz w:val="20"/>
          <w:szCs w:val="20"/>
          <w:vertAlign w:val="subscript"/>
          <w:lang w:val="en-GB"/>
        </w:rPr>
        <w:t>evaluate,NR_Intra_enh</w:t>
      </w:r>
      <w:r>
        <w:rPr>
          <w:bCs/>
          <w:i/>
          <w:iCs/>
          <w:sz w:val="20"/>
          <w:szCs w:val="20"/>
          <w:lang w:val="en-GB"/>
        </w:rPr>
        <w:t xml:space="preserve"> are reused the legacy FR1-NTN requirements. In addition, The UE is not required to meet the requirements for 2.56 s DRX cycle length for earth-moving LEO deployment.</w:t>
      </w:r>
    </w:p>
    <w:p w14:paraId="63D3C16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Firstly, we think the enhanced cell reselection measurement will be defined for RedCap UE not configured with eDRX_IDLE cycle, the requirement will be applied based on UE capability and network signalling. Then, for the delay requirements, we think the enhanced cell reselection measurement requirement for normal UEs in NR NTN can be reused.</w:t>
      </w:r>
    </w:p>
    <w:p w14:paraId="3CC3B84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bCs/>
          <w:i/>
          <w:iCs/>
          <w:sz w:val="20"/>
          <w:szCs w:val="20"/>
          <w:lang w:val="en-US" w:eastAsia="zh-CN"/>
        </w:rPr>
      </w:pPr>
      <w:bookmarkStart w:id="22" w:name="OLE_LINK29"/>
      <w:r>
        <w:rPr>
          <w:rFonts w:hint="eastAsia"/>
          <w:b/>
          <w:bCs/>
          <w:i/>
          <w:iCs/>
          <w:sz w:val="20"/>
          <w:szCs w:val="20"/>
          <w:lang w:val="en-US" w:eastAsia="zh-CN"/>
        </w:rPr>
        <w:t>Proposal 8: Define enhanced cell reselection measurement requirement for RedCap UE not configured with eDRX_IDLE cycle, the requirement for normal UEs can be reused.</w:t>
      </w:r>
    </w:p>
    <w:bookmarkEnd w:id="22"/>
    <w:p w14:paraId="47908689">
      <w:pPr>
        <w:snapToGrid w:val="0"/>
        <w:spacing w:after="120"/>
        <w:rPr>
          <w:lang w:eastAsia="zh-CN"/>
        </w:rPr>
      </w:pPr>
    </w:p>
    <w:p w14:paraId="71B6EEC1">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2-1-2: Cell re-selection requirements of inter-RAT E-UTRAN cells with TN carrier for 1Rx/ 2Rx (e)RedCap UE with FR1-NTN</w:t>
      </w:r>
    </w:p>
    <w:p w14:paraId="4EF750A3">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none"/>
          <w:lang w:val="en-US" w:eastAsia="zh-CN"/>
        </w:rPr>
      </w:pPr>
      <w:r>
        <w:rPr>
          <w:rFonts w:hint="eastAsia"/>
          <w:b/>
          <w:i/>
          <w:iCs/>
          <w:sz w:val="20"/>
          <w:szCs w:val="20"/>
          <w:highlight w:val="none"/>
          <w:u w:val="none"/>
          <w:lang w:val="en-US" w:eastAsia="ko-KR"/>
        </w:rPr>
        <w:t>&lt;Way Forward&gt;</w:t>
      </w:r>
      <w:r>
        <w:rPr>
          <w:rFonts w:hint="eastAsia"/>
          <w:b/>
          <w:i/>
          <w:iCs/>
          <w:sz w:val="20"/>
          <w:szCs w:val="20"/>
          <w:highlight w:val="none"/>
          <w:u w:val="none"/>
          <w:lang w:val="en-US" w:eastAsia="zh-CN"/>
        </w:rPr>
        <w:t>:</w:t>
      </w:r>
    </w:p>
    <w:p w14:paraId="5C8A233A">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bCs/>
          <w:i/>
          <w:iCs/>
          <w:sz w:val="20"/>
          <w:szCs w:val="20"/>
        </w:rPr>
      </w:pPr>
      <w:r>
        <w:rPr>
          <w:bCs/>
          <w:i/>
          <w:iCs/>
          <w:sz w:val="20"/>
          <w:szCs w:val="20"/>
        </w:rPr>
        <w:t>Proposal 1</w:t>
      </w:r>
      <w:r>
        <w:rPr>
          <w:rFonts w:hint="eastAsia"/>
          <w:bCs/>
          <w:i/>
          <w:iCs/>
          <w:sz w:val="20"/>
          <w:szCs w:val="20"/>
        </w:rPr>
        <w:t xml:space="preserve">: </w:t>
      </w:r>
      <w:r>
        <w:rPr>
          <w:bCs/>
          <w:i/>
          <w:iCs/>
          <w:sz w:val="20"/>
          <w:szCs w:val="20"/>
        </w:rPr>
        <w:t>The existing requirements for measurements of inter-RAT E-UTRAN cells with TN carrier can be used as baseline.</w:t>
      </w:r>
    </w:p>
    <w:p w14:paraId="70C58281">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i/>
          <w:iCs/>
          <w:sz w:val="20"/>
          <w:szCs w:val="20"/>
        </w:rPr>
      </w:pPr>
      <w:r>
        <w:rPr>
          <w:i/>
          <w:iCs/>
          <w:sz w:val="20"/>
          <w:szCs w:val="20"/>
        </w:rPr>
        <w:t xml:space="preserve">Proposal </w:t>
      </w:r>
      <w:r>
        <w:rPr>
          <w:rFonts w:hint="eastAsia"/>
          <w:i/>
          <w:iCs/>
          <w:sz w:val="20"/>
          <w:szCs w:val="20"/>
        </w:rPr>
        <w:t xml:space="preserve">2: </w:t>
      </w:r>
      <w:r>
        <w:rPr>
          <w:i/>
          <w:iCs/>
          <w:sz w:val="20"/>
          <w:szCs w:val="20"/>
        </w:rPr>
        <w:t>For inter-RAT E-UTRAN TN carrier cell re-selection measurement requirements, reuse the legacy requirements defined for normal UEs for (e)Redcap UE not configured with eDRX_IDLE cycle, reuse the Redcap Inter-RAT cell reselection requirement defined in TS 38.133 Table 4.2B.2.5-2 for (e)Redcap UE configured with eDRX_IDLE cycle.</w:t>
      </w:r>
    </w:p>
    <w:p w14:paraId="3E9F642F">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bCs/>
          <w:i/>
          <w:iCs/>
          <w:sz w:val="20"/>
          <w:szCs w:val="20"/>
        </w:rPr>
      </w:pPr>
      <w:r>
        <w:rPr>
          <w:rFonts w:hint="eastAsia"/>
          <w:bCs/>
          <w:i/>
          <w:iCs/>
          <w:sz w:val="20"/>
          <w:szCs w:val="20"/>
        </w:rPr>
        <w:t>P</w:t>
      </w:r>
      <w:r>
        <w:rPr>
          <w:bCs/>
          <w:i/>
          <w:iCs/>
          <w:sz w:val="20"/>
          <w:szCs w:val="20"/>
        </w:rPr>
        <w:t xml:space="preserve">roposal </w:t>
      </w:r>
      <w:r>
        <w:rPr>
          <w:rFonts w:hint="eastAsia"/>
          <w:bCs/>
          <w:i/>
          <w:iCs/>
          <w:sz w:val="20"/>
          <w:szCs w:val="20"/>
        </w:rPr>
        <w:t>3</w:t>
      </w:r>
      <w:r>
        <w:rPr>
          <w:bCs/>
          <w:i/>
          <w:iCs/>
          <w:sz w:val="20"/>
          <w:szCs w:val="20"/>
        </w:rPr>
        <w:t xml:space="preserve">: For cell re-selection measurement requirements of inter-RAT E-UTRAN cells with TN carrier for (e)RedCap UE with FR1-NTN bands, </w:t>
      </w:r>
    </w:p>
    <w:p w14:paraId="0402B353">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bCs/>
          <w:i/>
          <w:iCs/>
          <w:sz w:val="20"/>
          <w:szCs w:val="20"/>
          <w:lang w:val="en-GB"/>
        </w:rPr>
      </w:pPr>
      <w:r>
        <w:rPr>
          <w:rFonts w:hint="eastAsia"/>
          <w:bCs/>
          <w:i/>
          <w:iCs/>
          <w:sz w:val="20"/>
          <w:szCs w:val="20"/>
          <w:lang w:val="en-GB"/>
        </w:rPr>
        <w:t>F</w:t>
      </w:r>
      <w:r>
        <w:rPr>
          <w:bCs/>
          <w:i/>
          <w:iCs/>
          <w:sz w:val="20"/>
          <w:szCs w:val="20"/>
          <w:lang w:val="en-GB"/>
        </w:rPr>
        <w:t>or 2Rx UE, the existing cell reselection requirements in Rel-18 (e)NTN can be reused for (e)RedCap 2Rx UE with FR1-NTN bands.</w:t>
      </w:r>
    </w:p>
    <w:p w14:paraId="42101763">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bCs/>
          <w:i/>
          <w:iCs/>
          <w:sz w:val="20"/>
          <w:szCs w:val="20"/>
          <w:lang w:val="en-GB"/>
        </w:rPr>
      </w:pPr>
      <w:r>
        <w:rPr>
          <w:rFonts w:hint="eastAsia"/>
          <w:bCs/>
          <w:i/>
          <w:iCs/>
          <w:sz w:val="20"/>
          <w:szCs w:val="20"/>
          <w:lang w:val="en-GB"/>
        </w:rPr>
        <w:t>F</w:t>
      </w:r>
      <w:r>
        <w:rPr>
          <w:bCs/>
          <w:i/>
          <w:iCs/>
          <w:sz w:val="20"/>
          <w:szCs w:val="20"/>
          <w:lang w:val="en-GB"/>
        </w:rPr>
        <w:t>or 1RX UE, reuse the same margin of RSRP/RSRQ as for 2Rx.</w:t>
      </w:r>
    </w:p>
    <w:p w14:paraId="132FF35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For i</w:t>
      </w:r>
      <w:r>
        <w:rPr>
          <w:rFonts w:hint="eastAsia"/>
          <w:kern w:val="2"/>
          <w:sz w:val="20"/>
          <w:szCs w:val="20"/>
          <w:lang w:val="en-US" w:eastAsia="en-US"/>
        </w:rPr>
        <w:t>nter-RAT E-UTRAN cells with TN carrier</w:t>
      </w:r>
      <w:r>
        <w:rPr>
          <w:rFonts w:hint="eastAsia"/>
          <w:kern w:val="2"/>
          <w:sz w:val="20"/>
          <w:szCs w:val="20"/>
          <w:lang w:val="en-US" w:eastAsia="zh-CN"/>
        </w:rPr>
        <w:t xml:space="preserve"> cell re-selection measurement requirements, the </w:t>
      </w:r>
      <w:r>
        <w:rPr>
          <w:rFonts w:hint="eastAsia"/>
          <w:kern w:val="2"/>
          <w:sz w:val="20"/>
          <w:szCs w:val="20"/>
          <w:lang w:val="en-US" w:eastAsia="en-US"/>
        </w:rPr>
        <w:t>legacy requirements defined for normal UEs</w:t>
      </w:r>
      <w:r>
        <w:rPr>
          <w:rFonts w:hint="eastAsia"/>
          <w:kern w:val="2"/>
          <w:sz w:val="20"/>
          <w:szCs w:val="20"/>
          <w:lang w:val="en-US" w:eastAsia="zh-CN"/>
        </w:rPr>
        <w:t xml:space="preserve"> can be reused for (e)Redcap UE not configured with eDRX_IDLE cycle. For (e)Redcap UE configured with eDRX_IDLE cycle, the Redcap Inter-RAT cell reselection requirement defined in TS 38.133 </w:t>
      </w:r>
      <w:r>
        <w:rPr>
          <w:rFonts w:hint="eastAsia"/>
          <w:kern w:val="2"/>
          <w:sz w:val="20"/>
          <w:szCs w:val="20"/>
          <w:lang w:val="en-US" w:eastAsia="en-US"/>
        </w:rPr>
        <w:t>Table 4.2B.2.5-2</w:t>
      </w:r>
      <w:r>
        <w:rPr>
          <w:rFonts w:hint="eastAsia"/>
          <w:kern w:val="2"/>
          <w:sz w:val="20"/>
          <w:szCs w:val="20"/>
          <w:lang w:val="en-US" w:eastAsia="zh-CN"/>
        </w:rPr>
        <w:t xml:space="preserve"> can be reused.</w:t>
      </w:r>
    </w:p>
    <w:p w14:paraId="50E26C9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bookmarkStart w:id="23" w:name="OLE_LINK30"/>
      <w:r>
        <w:rPr>
          <w:rFonts w:hint="eastAsia"/>
          <w:b/>
          <w:bCs/>
          <w:i/>
          <w:iCs/>
          <w:sz w:val="20"/>
          <w:szCs w:val="20"/>
          <w:lang w:val="en-US" w:eastAsia="zh-CN"/>
        </w:rPr>
        <w:t>Proposal 9: For inter-RAT E-UTRAN TN carrier cell re-selection measurement requirements:</w:t>
      </w:r>
    </w:p>
    <w:p w14:paraId="06F3E3BD">
      <w:pPr>
        <w:keepNext w:val="0"/>
        <w:keepLines w:val="0"/>
        <w:pageBreakBefore w:val="0"/>
        <w:widowControl/>
        <w:numPr>
          <w:ilvl w:val="0"/>
          <w:numId w:val="8"/>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For (e)Redcap UE not configured with eDRX_IDLE cycle, reuse the </w:t>
      </w:r>
      <w:r>
        <w:rPr>
          <w:rFonts w:hint="eastAsia"/>
          <w:b/>
          <w:bCs/>
          <w:i/>
          <w:iCs/>
          <w:sz w:val="20"/>
          <w:szCs w:val="20"/>
          <w:lang w:val="en-US" w:eastAsia="en-US"/>
        </w:rPr>
        <w:t>legacy requirements defined for normal UEs</w:t>
      </w:r>
      <w:r>
        <w:rPr>
          <w:rFonts w:hint="eastAsia"/>
          <w:b/>
          <w:bCs/>
          <w:i/>
          <w:iCs/>
          <w:sz w:val="20"/>
          <w:szCs w:val="20"/>
          <w:lang w:val="en-US" w:eastAsia="zh-CN"/>
        </w:rPr>
        <w:t>.</w:t>
      </w:r>
    </w:p>
    <w:p w14:paraId="37416C57">
      <w:pPr>
        <w:keepNext w:val="0"/>
        <w:keepLines w:val="0"/>
        <w:pageBreakBefore w:val="0"/>
        <w:widowControl/>
        <w:numPr>
          <w:ilvl w:val="0"/>
          <w:numId w:val="8"/>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b/>
          <w:bCs/>
          <w:i/>
          <w:iCs/>
          <w:sz w:val="20"/>
          <w:szCs w:val="20"/>
          <w:lang w:val="en-US" w:eastAsia="zh-CN"/>
        </w:rPr>
      </w:pPr>
      <w:r>
        <w:rPr>
          <w:rFonts w:hint="eastAsia"/>
          <w:b/>
          <w:bCs/>
          <w:i/>
          <w:iCs/>
          <w:sz w:val="20"/>
          <w:szCs w:val="20"/>
          <w:lang w:val="en-US" w:eastAsia="zh-CN"/>
        </w:rPr>
        <w:t xml:space="preserve">For (e)Redcap UE configured with eDRX_IDLE cycle, reuse the Redcap Inter-RAT cell reselection requirement defined in TS 38.133 </w:t>
      </w:r>
      <w:r>
        <w:rPr>
          <w:rFonts w:hint="eastAsia"/>
          <w:b/>
          <w:bCs/>
          <w:i/>
          <w:iCs/>
          <w:sz w:val="20"/>
          <w:szCs w:val="20"/>
          <w:lang w:val="en-US" w:eastAsia="en-US"/>
        </w:rPr>
        <w:t>Table 4.2B.2.5-2</w:t>
      </w:r>
      <w:r>
        <w:rPr>
          <w:rFonts w:hint="eastAsia"/>
          <w:b/>
          <w:bCs/>
          <w:i/>
          <w:iCs/>
          <w:sz w:val="20"/>
          <w:szCs w:val="20"/>
          <w:lang w:val="en-US" w:eastAsia="zh-CN"/>
        </w:rPr>
        <w:t>.</w:t>
      </w:r>
    </w:p>
    <w:bookmarkEnd w:id="23"/>
    <w:p w14:paraId="501C1F38">
      <w:pPr>
        <w:numPr>
          <w:ilvl w:val="0"/>
          <w:numId w:val="0"/>
        </w:numPr>
        <w:spacing w:after="120"/>
        <w:contextualSpacing w:val="0"/>
        <w:rPr>
          <w:rFonts w:eastAsiaTheme="minorEastAsia"/>
          <w:iCs/>
        </w:rPr>
      </w:pPr>
    </w:p>
    <w:p w14:paraId="4EC16D69">
      <w:pPr>
        <w:pStyle w:val="3"/>
        <w:numPr>
          <w:ilvl w:val="1"/>
          <w:numId w:val="5"/>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L1/L3 measurement accuracy for 1Rx/2Rx (e)RedCap UEs with FR1-NTN</w:t>
      </w:r>
    </w:p>
    <w:p w14:paraId="7E352174">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GB" w:eastAsia="ko-KR"/>
        </w:rPr>
      </w:pPr>
      <w:r>
        <w:rPr>
          <w:rFonts w:hint="eastAsia"/>
          <w:b/>
          <w:i/>
          <w:iCs/>
          <w:sz w:val="20"/>
          <w:szCs w:val="20"/>
          <w:highlight w:val="none"/>
          <w:u w:val="single"/>
          <w:lang w:val="en-US" w:eastAsia="ko-KR"/>
        </w:rPr>
        <w:t>Issue 2-4-1: L1/L3 measurement accuracy for 1Rx/2Rx (e)RedCap UEs with FR1-NTN</w:t>
      </w:r>
    </w:p>
    <w:p w14:paraId="6ECBB73D">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none"/>
          <w:lang w:val="en-US" w:eastAsia="zh-CN"/>
        </w:rPr>
      </w:pPr>
      <w:r>
        <w:rPr>
          <w:rFonts w:hint="eastAsia"/>
          <w:b/>
          <w:i/>
          <w:iCs/>
          <w:sz w:val="20"/>
          <w:szCs w:val="20"/>
          <w:highlight w:val="none"/>
          <w:u w:val="none"/>
          <w:lang w:val="en-US" w:eastAsia="ko-KR"/>
        </w:rPr>
        <w:t>&lt;Way Forward&gt;</w:t>
      </w:r>
      <w:r>
        <w:rPr>
          <w:rFonts w:hint="eastAsia"/>
          <w:b/>
          <w:i/>
          <w:iCs/>
          <w:sz w:val="20"/>
          <w:szCs w:val="20"/>
          <w:highlight w:val="none"/>
          <w:u w:val="none"/>
          <w:lang w:val="en-US" w:eastAsia="zh-CN"/>
        </w:rPr>
        <w:t>:</w:t>
      </w:r>
    </w:p>
    <w:p w14:paraId="4DCA784F">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bCs/>
          <w:i/>
          <w:iCs/>
          <w:sz w:val="20"/>
          <w:szCs w:val="20"/>
        </w:rPr>
      </w:pPr>
      <w:r>
        <w:rPr>
          <w:rFonts w:hint="eastAsia"/>
          <w:bCs/>
          <w:i/>
          <w:iCs/>
          <w:sz w:val="20"/>
          <w:szCs w:val="20"/>
        </w:rPr>
        <w:t>F</w:t>
      </w:r>
      <w:r>
        <w:rPr>
          <w:bCs/>
          <w:i/>
          <w:iCs/>
          <w:sz w:val="20"/>
          <w:szCs w:val="20"/>
        </w:rPr>
        <w:t>or 2Rx</w:t>
      </w:r>
      <w:r>
        <w:rPr>
          <w:rFonts w:hint="eastAsia"/>
          <w:bCs/>
          <w:i/>
          <w:iCs/>
          <w:sz w:val="20"/>
          <w:szCs w:val="20"/>
        </w:rPr>
        <w:t xml:space="preserve"> </w:t>
      </w:r>
      <w:r>
        <w:rPr>
          <w:bCs/>
          <w:i/>
          <w:iCs/>
          <w:sz w:val="20"/>
          <w:szCs w:val="20"/>
        </w:rPr>
        <w:t xml:space="preserve">(e)RedCap UEs with FR1-NTN bands, </w:t>
      </w:r>
    </w:p>
    <w:p w14:paraId="5F181B38">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bCs/>
          <w:i/>
          <w:iCs/>
          <w:sz w:val="20"/>
          <w:szCs w:val="20"/>
        </w:rPr>
      </w:pPr>
      <w:r>
        <w:rPr>
          <w:bCs/>
          <w:i/>
          <w:iCs/>
          <w:sz w:val="20"/>
          <w:szCs w:val="20"/>
        </w:rPr>
        <w:t>Proposal 1:</w:t>
      </w:r>
      <w:r>
        <w:rPr>
          <w:rFonts w:hint="eastAsia"/>
          <w:bCs/>
          <w:i/>
          <w:iCs/>
          <w:sz w:val="20"/>
          <w:szCs w:val="20"/>
        </w:rPr>
        <w:t xml:space="preserve"> </w:t>
      </w:r>
      <w:r>
        <w:rPr>
          <w:bCs/>
          <w:i/>
          <w:iCs/>
          <w:sz w:val="20"/>
          <w:szCs w:val="20"/>
        </w:rPr>
        <w:t>RAN4 to reuse the measurement accuracy requirements for normal UEs</w:t>
      </w:r>
      <w:r>
        <w:rPr>
          <w:rFonts w:hint="eastAsia"/>
          <w:bCs/>
          <w:i/>
          <w:iCs/>
          <w:sz w:val="20"/>
          <w:szCs w:val="20"/>
        </w:rPr>
        <w:t xml:space="preserve"> </w:t>
      </w:r>
      <w:r>
        <w:rPr>
          <w:bCs/>
          <w:i/>
          <w:iCs/>
          <w:sz w:val="20"/>
          <w:szCs w:val="20"/>
        </w:rPr>
        <w:t>defined in NTN</w:t>
      </w:r>
      <w:r>
        <w:rPr>
          <w:rFonts w:hint="eastAsia"/>
          <w:bCs/>
          <w:i/>
          <w:iCs/>
          <w:sz w:val="20"/>
          <w:szCs w:val="20"/>
        </w:rPr>
        <w:t>.</w:t>
      </w:r>
    </w:p>
    <w:p w14:paraId="439A8FE0">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bCs/>
          <w:i/>
          <w:iCs/>
          <w:sz w:val="20"/>
          <w:szCs w:val="20"/>
        </w:rPr>
      </w:pPr>
      <w:r>
        <w:rPr>
          <w:rFonts w:hint="eastAsia"/>
          <w:bCs/>
          <w:i/>
          <w:iCs/>
          <w:sz w:val="20"/>
          <w:szCs w:val="20"/>
        </w:rPr>
        <w:t>For 1</w:t>
      </w:r>
      <w:r>
        <w:rPr>
          <w:bCs/>
          <w:i/>
          <w:iCs/>
          <w:sz w:val="20"/>
          <w:szCs w:val="20"/>
        </w:rPr>
        <w:t>Rx</w:t>
      </w:r>
      <w:r>
        <w:rPr>
          <w:rFonts w:hint="eastAsia"/>
          <w:bCs/>
          <w:i/>
          <w:iCs/>
          <w:sz w:val="20"/>
          <w:szCs w:val="20"/>
        </w:rPr>
        <w:t xml:space="preserve"> </w:t>
      </w:r>
      <w:r>
        <w:rPr>
          <w:bCs/>
          <w:i/>
          <w:iCs/>
          <w:sz w:val="20"/>
          <w:szCs w:val="20"/>
        </w:rPr>
        <w:t>(e)RedCap UEs with FR1-NTN bands</w:t>
      </w:r>
      <w:r>
        <w:rPr>
          <w:rFonts w:hint="eastAsia"/>
          <w:bCs/>
          <w:i/>
          <w:iCs/>
          <w:sz w:val="20"/>
          <w:szCs w:val="20"/>
        </w:rPr>
        <w:t xml:space="preserve">, </w:t>
      </w:r>
    </w:p>
    <w:p w14:paraId="3762A554">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bCs/>
          <w:i/>
          <w:iCs/>
          <w:sz w:val="20"/>
          <w:szCs w:val="20"/>
        </w:rPr>
      </w:pPr>
      <w:r>
        <w:rPr>
          <w:bCs/>
          <w:i/>
          <w:iCs/>
          <w:sz w:val="20"/>
          <w:szCs w:val="20"/>
        </w:rPr>
        <w:t>Proposal 1:</w:t>
      </w:r>
      <w:r>
        <w:rPr>
          <w:rFonts w:hint="eastAsia"/>
          <w:bCs/>
          <w:i/>
          <w:iCs/>
          <w:sz w:val="20"/>
          <w:szCs w:val="20"/>
        </w:rPr>
        <w:t xml:space="preserve"> RAN4</w:t>
      </w:r>
      <w:r>
        <w:rPr>
          <w:bCs/>
          <w:i/>
          <w:iCs/>
          <w:sz w:val="20"/>
          <w:szCs w:val="20"/>
        </w:rPr>
        <w:t xml:space="preserve"> to relax the </w:t>
      </w:r>
      <w:r>
        <w:rPr>
          <w:rFonts w:hint="eastAsia"/>
          <w:bCs/>
          <w:i/>
          <w:iCs/>
          <w:sz w:val="20"/>
          <w:szCs w:val="20"/>
        </w:rPr>
        <w:t xml:space="preserve">L1/L3 </w:t>
      </w:r>
      <w:r>
        <w:rPr>
          <w:bCs/>
          <w:i/>
          <w:iCs/>
          <w:sz w:val="20"/>
          <w:szCs w:val="20"/>
        </w:rPr>
        <w:t>measurement accuracy for SS-RSRP, SS-RSRQ, SS-SINR and L1-RSRP compared to those defined for 2Rx (e)RedCap UEs.</w:t>
      </w:r>
    </w:p>
    <w:p w14:paraId="75EE79C5">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bCs/>
          <w:i/>
          <w:iCs/>
          <w:sz w:val="20"/>
          <w:szCs w:val="20"/>
        </w:rPr>
      </w:pPr>
      <w:r>
        <w:rPr>
          <w:rFonts w:hint="eastAsia"/>
          <w:bCs/>
          <w:i/>
          <w:iCs/>
          <w:sz w:val="20"/>
          <w:szCs w:val="20"/>
        </w:rPr>
        <w:t>The same</w:t>
      </w:r>
      <w:r>
        <w:rPr>
          <w:bCs/>
          <w:i/>
          <w:iCs/>
          <w:sz w:val="20"/>
          <w:szCs w:val="20"/>
        </w:rPr>
        <w:t xml:space="preserve"> relaxation</w:t>
      </w:r>
      <w:r>
        <w:rPr>
          <w:rFonts w:hint="eastAsia"/>
          <w:bCs/>
          <w:i/>
          <w:iCs/>
          <w:sz w:val="20"/>
          <w:szCs w:val="20"/>
        </w:rPr>
        <w:t xml:space="preserve"> defined in TN </w:t>
      </w:r>
      <w:r>
        <w:rPr>
          <w:bCs/>
          <w:i/>
          <w:iCs/>
          <w:sz w:val="20"/>
          <w:szCs w:val="20"/>
        </w:rPr>
        <w:t>for 1Rx</w:t>
      </w:r>
      <w:r>
        <w:rPr>
          <w:rFonts w:hint="eastAsia"/>
          <w:bCs/>
          <w:i/>
          <w:iCs/>
          <w:sz w:val="20"/>
          <w:szCs w:val="20"/>
        </w:rPr>
        <w:t xml:space="preserve"> </w:t>
      </w:r>
      <w:r>
        <w:rPr>
          <w:bCs/>
          <w:i/>
          <w:iCs/>
          <w:sz w:val="20"/>
          <w:szCs w:val="20"/>
        </w:rPr>
        <w:t>(e)RedCap UEs</w:t>
      </w:r>
      <w:r>
        <w:rPr>
          <w:rFonts w:hint="eastAsia"/>
          <w:bCs/>
          <w:i/>
          <w:iCs/>
          <w:sz w:val="20"/>
          <w:szCs w:val="20"/>
        </w:rPr>
        <w:t xml:space="preserve"> can be reused.</w:t>
      </w:r>
    </w:p>
    <w:p w14:paraId="5BED17CD">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bCs/>
          <w:i/>
          <w:iCs/>
          <w:sz w:val="20"/>
          <w:szCs w:val="20"/>
        </w:rPr>
      </w:pPr>
      <w:r>
        <w:rPr>
          <w:bCs/>
          <w:i/>
          <w:iCs/>
          <w:sz w:val="20"/>
          <w:szCs w:val="20"/>
          <w:lang w:val="en-GB"/>
        </w:rPr>
        <w:t>SS-RSRP, SS-RSRQ, SS-SINR</w:t>
      </w:r>
      <w:r>
        <w:rPr>
          <w:rFonts w:hint="eastAsia"/>
          <w:bCs/>
          <w:i/>
          <w:iCs/>
          <w:sz w:val="20"/>
          <w:szCs w:val="20"/>
          <w:lang w:val="en-GB"/>
        </w:rPr>
        <w:t xml:space="preserve">: </w:t>
      </w:r>
      <w:r>
        <w:rPr>
          <w:bCs/>
          <w:i/>
          <w:iCs/>
          <w:sz w:val="20"/>
          <w:szCs w:val="20"/>
          <w:lang w:val="en-GB"/>
        </w:rPr>
        <w:t>relax by 1dB</w:t>
      </w:r>
      <w:r>
        <w:rPr>
          <w:rFonts w:hint="eastAsia"/>
          <w:bCs/>
          <w:i/>
          <w:iCs/>
          <w:sz w:val="20"/>
          <w:szCs w:val="20"/>
          <w:lang w:val="en-GB"/>
        </w:rPr>
        <w:t>.</w:t>
      </w:r>
    </w:p>
    <w:p w14:paraId="51B260DC">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bCs/>
          <w:i/>
          <w:iCs/>
          <w:sz w:val="20"/>
          <w:szCs w:val="20"/>
        </w:rPr>
      </w:pPr>
      <w:r>
        <w:rPr>
          <w:bCs/>
          <w:i/>
          <w:iCs/>
          <w:sz w:val="20"/>
          <w:szCs w:val="20"/>
          <w:lang w:val="en-GB"/>
        </w:rPr>
        <w:t>L1-RSRP</w:t>
      </w:r>
      <w:r>
        <w:rPr>
          <w:rFonts w:hint="eastAsia"/>
          <w:bCs/>
          <w:i/>
          <w:iCs/>
          <w:sz w:val="20"/>
          <w:szCs w:val="20"/>
          <w:lang w:val="en-GB"/>
        </w:rPr>
        <w:t>:</w:t>
      </w:r>
      <w:r>
        <w:rPr>
          <w:bCs/>
          <w:i/>
          <w:iCs/>
          <w:sz w:val="20"/>
          <w:szCs w:val="20"/>
          <w:lang w:val="en-GB"/>
        </w:rPr>
        <w:t xml:space="preserve"> relax by 3dB.</w:t>
      </w:r>
    </w:p>
    <w:p w14:paraId="673B6C8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For measurement accuracy requirement, the way forward from RAN4#114 meeting exactly follow the same principle </w:t>
      </w:r>
      <w:r>
        <w:rPr>
          <w:rFonts w:hint="eastAsia"/>
          <w:kern w:val="2"/>
          <w:sz w:val="20"/>
          <w:szCs w:val="20"/>
          <w:lang w:val="en-US" w:eastAsia="ja-JP"/>
        </w:rPr>
        <w:t>for (e)RedCap UE in TN network</w:t>
      </w:r>
      <w:r>
        <w:rPr>
          <w:rFonts w:hint="eastAsia"/>
          <w:kern w:val="2"/>
          <w:sz w:val="20"/>
          <w:szCs w:val="20"/>
          <w:lang w:val="en-US" w:eastAsia="zh-CN"/>
        </w:rPr>
        <w:t>, we support all of them.</w:t>
      </w:r>
    </w:p>
    <w:p w14:paraId="41D720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bCs/>
          <w:i/>
          <w:iCs/>
          <w:sz w:val="20"/>
          <w:szCs w:val="20"/>
          <w:lang w:val="en-US" w:eastAsia="zh-CN"/>
        </w:rPr>
      </w:pPr>
      <w:bookmarkStart w:id="24" w:name="OLE_LINK31"/>
      <w:r>
        <w:rPr>
          <w:rFonts w:hint="eastAsia"/>
          <w:b/>
          <w:bCs/>
          <w:i/>
          <w:iCs/>
          <w:sz w:val="20"/>
          <w:szCs w:val="20"/>
          <w:lang w:val="en-US" w:eastAsia="zh-CN"/>
        </w:rPr>
        <w:t>Proposal 10: For measurement accuracy requirement, support the way forward from RAN4#114 meeting.</w:t>
      </w:r>
    </w:p>
    <w:bookmarkEnd w:id="24"/>
    <w:p w14:paraId="23476BEF">
      <w:pPr>
        <w:rPr>
          <w:rFonts w:hint="default"/>
          <w:lang w:val="en-US" w:eastAsia="zh-CN"/>
        </w:rPr>
      </w:pPr>
    </w:p>
    <w:p w14:paraId="11E8A0CD">
      <w:pPr>
        <w:pStyle w:val="2"/>
        <w:numPr>
          <w:ilvl w:val="0"/>
          <w:numId w:val="5"/>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The impact of HD-FDD</w:t>
      </w:r>
    </w:p>
    <w:p w14:paraId="3E85376E">
      <w:pPr>
        <w:pStyle w:val="3"/>
        <w:numPr>
          <w:ilvl w:val="1"/>
          <w:numId w:val="5"/>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General HD-FDD related impact</w:t>
      </w:r>
    </w:p>
    <w:p w14:paraId="0978C789">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 xml:space="preserve">Issue </w:t>
      </w:r>
      <w:bookmarkStart w:id="25" w:name="OLE_LINK90"/>
      <w:bookmarkStart w:id="26" w:name="OLE_LINK87"/>
      <w:r>
        <w:rPr>
          <w:rFonts w:hint="eastAsia"/>
          <w:b/>
          <w:i/>
          <w:iCs/>
          <w:sz w:val="20"/>
          <w:szCs w:val="20"/>
          <w:highlight w:val="none"/>
          <w:u w:val="single"/>
          <w:lang w:val="en-US" w:eastAsia="ko-KR"/>
        </w:rPr>
        <w:t>3-1-1</w:t>
      </w:r>
      <w:bookmarkEnd w:id="25"/>
      <w:bookmarkEnd w:id="26"/>
      <w:r>
        <w:rPr>
          <w:rFonts w:hint="eastAsia"/>
          <w:b/>
          <w:i/>
          <w:iCs/>
          <w:sz w:val="20"/>
          <w:szCs w:val="20"/>
          <w:highlight w:val="none"/>
          <w:u w:val="single"/>
          <w:lang w:val="en-US" w:eastAsia="ko-KR"/>
        </w:rPr>
        <w:t>: General HD-FDD related impact</w:t>
      </w:r>
    </w:p>
    <w:p w14:paraId="57979184">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none"/>
          <w:lang w:val="en-US" w:eastAsia="zh-CN"/>
        </w:rPr>
      </w:pPr>
      <w:r>
        <w:rPr>
          <w:rFonts w:hint="eastAsia"/>
          <w:b/>
          <w:i/>
          <w:iCs/>
          <w:sz w:val="20"/>
          <w:szCs w:val="20"/>
          <w:highlight w:val="none"/>
          <w:u w:val="none"/>
          <w:lang w:val="en-US" w:eastAsia="ko-KR"/>
        </w:rPr>
        <w:t>&lt;Way Forward&gt;</w:t>
      </w:r>
      <w:r>
        <w:rPr>
          <w:rFonts w:hint="eastAsia"/>
          <w:b/>
          <w:i/>
          <w:iCs/>
          <w:sz w:val="20"/>
          <w:szCs w:val="20"/>
          <w:highlight w:val="none"/>
          <w:u w:val="none"/>
          <w:lang w:val="en-US" w:eastAsia="zh-CN"/>
        </w:rPr>
        <w:t>:</w:t>
      </w:r>
    </w:p>
    <w:p w14:paraId="187865C4">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i/>
          <w:iCs/>
          <w:sz w:val="20"/>
          <w:szCs w:val="20"/>
        </w:rPr>
      </w:pPr>
      <w:r>
        <w:rPr>
          <w:i/>
          <w:iCs/>
          <w:sz w:val="20"/>
          <w:szCs w:val="20"/>
        </w:rPr>
        <w:t xml:space="preserve">Proposal </w:t>
      </w:r>
      <w:r>
        <w:rPr>
          <w:rFonts w:hint="eastAsia"/>
          <w:i/>
          <w:iCs/>
          <w:sz w:val="20"/>
          <w:szCs w:val="20"/>
        </w:rPr>
        <w:t>1</w:t>
      </w:r>
      <w:r>
        <w:rPr>
          <w:i/>
          <w:iCs/>
          <w:sz w:val="20"/>
          <w:szCs w:val="20"/>
        </w:rPr>
        <w:t>: The legacy requirements and applicable conditions can be as the baseline for defining requirements of RedCap UE in NTN scenario.</w:t>
      </w:r>
      <w:r>
        <w:rPr>
          <w:rFonts w:hint="eastAsia"/>
          <w:i/>
          <w:iCs/>
          <w:sz w:val="20"/>
          <w:szCs w:val="20"/>
          <w:lang w:val="en-US" w:eastAsia="zh-CN"/>
        </w:rPr>
        <w:tab/>
      </w:r>
    </w:p>
    <w:p w14:paraId="7B2EF896">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i/>
          <w:iCs/>
          <w:sz w:val="20"/>
          <w:szCs w:val="20"/>
        </w:rPr>
      </w:pPr>
      <w:r>
        <w:rPr>
          <w:i/>
          <w:iCs/>
          <w:sz w:val="20"/>
          <w:szCs w:val="20"/>
        </w:rPr>
        <w:t xml:space="preserve">Proposal </w:t>
      </w:r>
      <w:r>
        <w:rPr>
          <w:rFonts w:hint="eastAsia"/>
          <w:i/>
          <w:iCs/>
          <w:sz w:val="20"/>
          <w:szCs w:val="20"/>
        </w:rPr>
        <w:t>1a</w:t>
      </w:r>
      <w:r>
        <w:rPr>
          <w:i/>
          <w:iCs/>
          <w:sz w:val="20"/>
          <w:szCs w:val="20"/>
        </w:rPr>
        <w:t xml:space="preserve">: </w:t>
      </w:r>
      <w:r>
        <w:rPr>
          <w:rFonts w:hint="eastAsia"/>
          <w:i/>
          <w:iCs/>
          <w:sz w:val="20"/>
          <w:szCs w:val="20"/>
        </w:rPr>
        <w:t xml:space="preserve">To following the TN, the following </w:t>
      </w:r>
      <w:r>
        <w:rPr>
          <w:i/>
          <w:iCs/>
          <w:sz w:val="20"/>
          <w:szCs w:val="20"/>
        </w:rPr>
        <w:t>requirements</w:t>
      </w:r>
      <w:r>
        <w:rPr>
          <w:rFonts w:hint="eastAsia"/>
          <w:i/>
          <w:iCs/>
          <w:sz w:val="20"/>
          <w:szCs w:val="20"/>
        </w:rPr>
        <w:t xml:space="preserve"> will be affected by</w:t>
      </w:r>
      <w:r>
        <w:rPr>
          <w:i/>
          <w:iCs/>
          <w:sz w:val="20"/>
          <w:szCs w:val="20"/>
        </w:rPr>
        <w:t xml:space="preserve"> HD-FDD</w:t>
      </w:r>
      <w:r>
        <w:rPr>
          <w:rFonts w:hint="eastAsia"/>
          <w:i/>
          <w:iCs/>
          <w:sz w:val="20"/>
          <w:szCs w:val="20"/>
        </w:rPr>
        <w:t xml:space="preserve"> </w:t>
      </w:r>
      <w:r>
        <w:rPr>
          <w:i/>
          <w:iCs/>
          <w:sz w:val="20"/>
          <w:szCs w:val="20"/>
        </w:rPr>
        <w:t>for (e)RedCap UE</w:t>
      </w:r>
      <w:r>
        <w:rPr>
          <w:rFonts w:hint="eastAsia"/>
          <w:i/>
          <w:iCs/>
          <w:sz w:val="20"/>
          <w:szCs w:val="20"/>
        </w:rPr>
        <w:t xml:space="preserve"> </w:t>
      </w:r>
      <w:r>
        <w:rPr>
          <w:i/>
          <w:iCs/>
          <w:sz w:val="20"/>
          <w:szCs w:val="20"/>
        </w:rPr>
        <w:t>with FR1-NTN</w:t>
      </w:r>
      <w:r>
        <w:rPr>
          <w:rFonts w:hint="eastAsia"/>
          <w:i/>
          <w:iCs/>
          <w:sz w:val="20"/>
          <w:szCs w:val="20"/>
        </w:rPr>
        <w:t>:</w:t>
      </w:r>
    </w:p>
    <w:p w14:paraId="46254B66">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r>
        <w:rPr>
          <w:rFonts w:hint="eastAsia"/>
          <w:i/>
          <w:iCs/>
          <w:sz w:val="20"/>
          <w:szCs w:val="20"/>
        </w:rPr>
        <w:t>P</w:t>
      </w:r>
      <w:r>
        <w:rPr>
          <w:i/>
          <w:iCs/>
          <w:sz w:val="20"/>
          <w:szCs w:val="20"/>
        </w:rPr>
        <w:t>aging reception requirements</w:t>
      </w:r>
      <w:r>
        <w:rPr>
          <w:rFonts w:hint="eastAsia"/>
          <w:i/>
          <w:iCs/>
          <w:sz w:val="20"/>
          <w:szCs w:val="20"/>
        </w:rPr>
        <w:t xml:space="preserve"> </w:t>
      </w:r>
      <w:r>
        <w:rPr>
          <w:i/>
          <w:iCs/>
          <w:sz w:val="20"/>
          <w:szCs w:val="20"/>
        </w:rPr>
        <w:t>in RRC_IDLE/ RRC_INACTIVE state</w:t>
      </w:r>
    </w:p>
    <w:p w14:paraId="1D10725F">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r>
        <w:rPr>
          <w:i/>
          <w:iCs/>
          <w:sz w:val="20"/>
          <w:szCs w:val="20"/>
        </w:rPr>
        <w:t>Handover</w:t>
      </w:r>
      <w:r>
        <w:rPr>
          <w:rFonts w:hint="eastAsia"/>
          <w:i/>
          <w:iCs/>
          <w:sz w:val="20"/>
          <w:szCs w:val="20"/>
        </w:rPr>
        <w:t xml:space="preserve"> i</w:t>
      </w:r>
      <w:r>
        <w:rPr>
          <w:i/>
          <w:iCs/>
          <w:sz w:val="20"/>
          <w:szCs w:val="20"/>
        </w:rPr>
        <w:t>nterruption time</w:t>
      </w:r>
    </w:p>
    <w:p w14:paraId="17FF3EE5">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r>
        <w:rPr>
          <w:i/>
          <w:iCs/>
          <w:sz w:val="20"/>
          <w:szCs w:val="20"/>
        </w:rPr>
        <w:t>Random access</w:t>
      </w:r>
    </w:p>
    <w:p w14:paraId="7A22E7F3">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r>
        <w:rPr>
          <w:i/>
          <w:iCs/>
          <w:sz w:val="20"/>
          <w:szCs w:val="20"/>
        </w:rPr>
        <w:t>SA: RRC Connection Release with Redirection</w:t>
      </w:r>
    </w:p>
    <w:p w14:paraId="258B089F">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r>
        <w:rPr>
          <w:i/>
          <w:iCs/>
          <w:sz w:val="20"/>
          <w:szCs w:val="20"/>
        </w:rPr>
        <w:t>Minimum requirement for L1 indication</w:t>
      </w:r>
      <w:r>
        <w:rPr>
          <w:rFonts w:hint="eastAsia"/>
          <w:i/>
          <w:iCs/>
          <w:sz w:val="20"/>
          <w:szCs w:val="20"/>
        </w:rPr>
        <w:t xml:space="preserve"> for RLM and LR</w:t>
      </w:r>
    </w:p>
    <w:p w14:paraId="200B54EA">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r>
        <w:rPr>
          <w:i/>
          <w:iCs/>
          <w:sz w:val="20"/>
          <w:szCs w:val="20"/>
        </w:rPr>
        <w:t>MAC-CE</w:t>
      </w:r>
      <w:r>
        <w:rPr>
          <w:rFonts w:hint="eastAsia"/>
          <w:i/>
          <w:iCs/>
          <w:sz w:val="20"/>
          <w:szCs w:val="20"/>
        </w:rPr>
        <w:t>/</w:t>
      </w:r>
      <w:r>
        <w:rPr>
          <w:i/>
          <w:iCs/>
          <w:sz w:val="20"/>
          <w:szCs w:val="20"/>
        </w:rPr>
        <w:t>DCI</w:t>
      </w:r>
      <w:r>
        <w:rPr>
          <w:rFonts w:hint="eastAsia"/>
          <w:i/>
          <w:iCs/>
          <w:sz w:val="20"/>
          <w:szCs w:val="20"/>
        </w:rPr>
        <w:t>/</w:t>
      </w:r>
      <w:r>
        <w:rPr>
          <w:i/>
          <w:iCs/>
          <w:sz w:val="20"/>
          <w:szCs w:val="20"/>
        </w:rPr>
        <w:t xml:space="preserve">RRC based </w:t>
      </w:r>
      <w:r>
        <w:rPr>
          <w:rFonts w:hint="eastAsia"/>
          <w:i/>
          <w:iCs/>
          <w:sz w:val="20"/>
          <w:szCs w:val="20"/>
        </w:rPr>
        <w:t>u</w:t>
      </w:r>
      <w:r>
        <w:rPr>
          <w:i/>
          <w:iCs/>
          <w:sz w:val="20"/>
          <w:szCs w:val="20"/>
        </w:rPr>
        <w:t>plink spatial relation switch delay</w:t>
      </w:r>
      <w:r>
        <w:rPr>
          <w:rFonts w:hint="eastAsia"/>
          <w:i/>
          <w:iCs/>
          <w:sz w:val="20"/>
          <w:szCs w:val="20"/>
        </w:rPr>
        <w:t xml:space="preserve"> </w:t>
      </w:r>
    </w:p>
    <w:p w14:paraId="3B2AF179">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bookmarkStart w:id="27" w:name="OLE_LINK19"/>
      <w:r>
        <w:rPr>
          <w:i/>
          <w:iCs/>
          <w:sz w:val="20"/>
          <w:szCs w:val="20"/>
        </w:rPr>
        <w:t>Scheduling availability</w:t>
      </w:r>
      <w:r>
        <w:rPr>
          <w:rFonts w:hint="eastAsia"/>
          <w:i/>
          <w:iCs/>
          <w:sz w:val="20"/>
          <w:szCs w:val="20"/>
        </w:rPr>
        <w:t xml:space="preserve"> </w:t>
      </w:r>
      <w:r>
        <w:rPr>
          <w:i/>
          <w:iCs/>
          <w:sz w:val="20"/>
          <w:szCs w:val="20"/>
        </w:rPr>
        <w:t xml:space="preserve">of UE performing </w:t>
      </w:r>
      <w:r>
        <w:rPr>
          <w:rFonts w:hint="eastAsia"/>
          <w:i/>
          <w:iCs/>
          <w:sz w:val="20"/>
          <w:szCs w:val="20"/>
        </w:rPr>
        <w:t xml:space="preserve">intra/inter </w:t>
      </w:r>
      <w:r>
        <w:rPr>
          <w:i/>
          <w:iCs/>
          <w:sz w:val="20"/>
          <w:szCs w:val="20"/>
        </w:rPr>
        <w:t>measurements</w:t>
      </w:r>
      <w:bookmarkEnd w:id="27"/>
      <w:r>
        <w:rPr>
          <w:i/>
          <w:iCs/>
          <w:sz w:val="20"/>
          <w:szCs w:val="20"/>
        </w:rPr>
        <w:t xml:space="preserve"> </w:t>
      </w:r>
    </w:p>
    <w:p w14:paraId="6EF723E8">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bookmarkStart w:id="28" w:name="OLE_LINK21"/>
      <w:r>
        <w:rPr>
          <w:i/>
          <w:iCs/>
          <w:sz w:val="20"/>
          <w:szCs w:val="20"/>
        </w:rPr>
        <w:t>Scheduling availability of UE during L1-RSRP measurement</w:t>
      </w:r>
      <w:bookmarkEnd w:id="28"/>
    </w:p>
    <w:p w14:paraId="17E8E7F3">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i/>
          <w:iCs/>
          <w:sz w:val="20"/>
          <w:szCs w:val="20"/>
        </w:rPr>
      </w:pPr>
      <w:r>
        <w:rPr>
          <w:i/>
          <w:iCs/>
          <w:sz w:val="20"/>
          <w:szCs w:val="20"/>
        </w:rPr>
        <w:t xml:space="preserve">Proposal </w:t>
      </w:r>
      <w:r>
        <w:rPr>
          <w:rFonts w:hint="eastAsia"/>
          <w:i/>
          <w:iCs/>
          <w:sz w:val="20"/>
          <w:szCs w:val="20"/>
        </w:rPr>
        <w:t>1b</w:t>
      </w:r>
      <w:r>
        <w:rPr>
          <w:i/>
          <w:iCs/>
          <w:sz w:val="20"/>
          <w:szCs w:val="20"/>
        </w:rPr>
        <w:t>: For scheduling availability, n</w:t>
      </w:r>
      <w:r>
        <w:rPr>
          <w:rFonts w:hint="eastAsia"/>
          <w:i/>
          <w:iCs/>
          <w:sz w:val="20"/>
          <w:szCs w:val="20"/>
        </w:rPr>
        <w:t>eed</w:t>
      </w:r>
      <w:r>
        <w:rPr>
          <w:i/>
          <w:iCs/>
          <w:sz w:val="20"/>
          <w:szCs w:val="20"/>
        </w:rPr>
        <w:t xml:space="preserve"> </w:t>
      </w:r>
      <w:r>
        <w:rPr>
          <w:rFonts w:hint="eastAsia"/>
          <w:i/>
          <w:iCs/>
          <w:sz w:val="20"/>
          <w:szCs w:val="20"/>
        </w:rPr>
        <w:t>further</w:t>
      </w:r>
      <w:r>
        <w:rPr>
          <w:i/>
          <w:iCs/>
          <w:sz w:val="20"/>
          <w:szCs w:val="20"/>
        </w:rPr>
        <w:t xml:space="preserve"> </w:t>
      </w:r>
      <w:r>
        <w:rPr>
          <w:rFonts w:hint="eastAsia"/>
          <w:i/>
          <w:iCs/>
          <w:sz w:val="20"/>
          <w:szCs w:val="20"/>
        </w:rPr>
        <w:t>RAN</w:t>
      </w:r>
      <w:r>
        <w:rPr>
          <w:i/>
          <w:iCs/>
          <w:sz w:val="20"/>
          <w:szCs w:val="20"/>
        </w:rPr>
        <w:t xml:space="preserve">1 </w:t>
      </w:r>
      <w:r>
        <w:rPr>
          <w:rFonts w:hint="eastAsia"/>
          <w:i/>
          <w:iCs/>
          <w:sz w:val="20"/>
          <w:szCs w:val="20"/>
        </w:rPr>
        <w:t>progress</w:t>
      </w:r>
      <w:r>
        <w:rPr>
          <w:i/>
          <w:iCs/>
          <w:sz w:val="20"/>
          <w:szCs w:val="20"/>
        </w:rPr>
        <w:t xml:space="preserve"> for detailed requirements of HD-FDD UEs.</w:t>
      </w:r>
    </w:p>
    <w:p w14:paraId="644B9D23">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i/>
          <w:iCs/>
          <w:sz w:val="20"/>
          <w:szCs w:val="20"/>
        </w:rPr>
      </w:pPr>
      <w:r>
        <w:rPr>
          <w:i/>
          <w:iCs/>
          <w:sz w:val="20"/>
          <w:szCs w:val="20"/>
        </w:rPr>
        <w:t>Proposal 1</w:t>
      </w:r>
      <w:r>
        <w:rPr>
          <w:rFonts w:hint="eastAsia"/>
          <w:i/>
          <w:iCs/>
          <w:sz w:val="20"/>
          <w:szCs w:val="20"/>
        </w:rPr>
        <w:t>c</w:t>
      </w:r>
      <w:r>
        <w:rPr>
          <w:i/>
          <w:iCs/>
          <w:sz w:val="20"/>
          <w:szCs w:val="20"/>
        </w:rPr>
        <w:t xml:space="preserve">: </w:t>
      </w:r>
    </w:p>
    <w:p w14:paraId="66FC0DDF">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r>
        <w:rPr>
          <w:i/>
          <w:iCs/>
          <w:sz w:val="20"/>
          <w:szCs w:val="20"/>
        </w:rPr>
        <w:t xml:space="preserve">Adopt TN requirements as baseline for clarifying the requirements listed in P1a for HD-FDD RedCap UE except for </w:t>
      </w:r>
    </w:p>
    <w:p w14:paraId="180A5E14">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i/>
          <w:iCs/>
          <w:sz w:val="20"/>
          <w:szCs w:val="20"/>
          <w:lang w:eastAsia="zh-CN"/>
        </w:rPr>
      </w:pPr>
      <w:r>
        <w:rPr>
          <w:i/>
          <w:iCs/>
          <w:sz w:val="20"/>
          <w:szCs w:val="20"/>
          <w:lang w:eastAsia="zh-CN"/>
        </w:rPr>
        <w:t>MAC-CE/DCI/RRC based uplink spatial relation switch delay</w:t>
      </w:r>
    </w:p>
    <w:p w14:paraId="16735C66">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i/>
          <w:iCs/>
          <w:sz w:val="20"/>
          <w:szCs w:val="20"/>
          <w:lang w:eastAsia="zh-CN"/>
        </w:rPr>
      </w:pPr>
      <w:r>
        <w:rPr>
          <w:i/>
          <w:iCs/>
          <w:sz w:val="20"/>
          <w:szCs w:val="20"/>
          <w:lang w:eastAsia="zh-CN"/>
        </w:rPr>
        <w:t>Scheduling availability of UE during L1-RSRP measurement</w:t>
      </w:r>
    </w:p>
    <w:p w14:paraId="3EFABF22">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i/>
          <w:iCs/>
          <w:sz w:val="20"/>
          <w:szCs w:val="20"/>
        </w:rPr>
      </w:pPr>
      <w:r>
        <w:rPr>
          <w:i/>
          <w:iCs/>
          <w:sz w:val="20"/>
          <w:szCs w:val="20"/>
        </w:rPr>
        <w:t xml:space="preserve">Clarify that the requirements for CSI-RS and PRS apply provided that no CSI-RS and PRS resource is dropped due to collision with UL transmission during the measurement period. </w:t>
      </w:r>
    </w:p>
    <w:p w14:paraId="246F4FDA">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i/>
          <w:iCs/>
          <w:sz w:val="20"/>
          <w:szCs w:val="20"/>
        </w:rPr>
      </w:pPr>
      <w:r>
        <w:rPr>
          <w:i/>
          <w:iCs/>
          <w:sz w:val="20"/>
          <w:szCs w:val="20"/>
        </w:rPr>
        <w:t xml:space="preserve">Proposal </w:t>
      </w:r>
      <w:r>
        <w:rPr>
          <w:rFonts w:hint="eastAsia"/>
          <w:i/>
          <w:iCs/>
          <w:sz w:val="20"/>
          <w:szCs w:val="20"/>
        </w:rPr>
        <w:t>1d</w:t>
      </w:r>
      <w:r>
        <w:rPr>
          <w:i/>
          <w:iCs/>
          <w:sz w:val="20"/>
          <w:szCs w:val="20"/>
        </w:rPr>
        <w:t>:RAN4 to check whether existing HD-FDD related requirements and applicable conditions can be reused or not after RAN1 reach further conclusions.</w:t>
      </w:r>
    </w:p>
    <w:p w14:paraId="61578BA1">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i/>
          <w:iCs/>
          <w:sz w:val="20"/>
          <w:szCs w:val="20"/>
        </w:rPr>
      </w:pPr>
      <w:r>
        <w:rPr>
          <w:i/>
          <w:iCs/>
          <w:sz w:val="20"/>
          <w:szCs w:val="20"/>
        </w:rPr>
        <w:t xml:space="preserve">Proposal </w:t>
      </w:r>
      <w:r>
        <w:rPr>
          <w:rFonts w:hint="eastAsia"/>
          <w:i/>
          <w:iCs/>
          <w:sz w:val="20"/>
          <w:szCs w:val="20"/>
        </w:rPr>
        <w:t>2</w:t>
      </w:r>
      <w:r>
        <w:rPr>
          <w:i/>
          <w:iCs/>
          <w:sz w:val="20"/>
          <w:szCs w:val="20"/>
        </w:rPr>
        <w:t xml:space="preserve">: For NTN UEs with HD-FDD, </w:t>
      </w:r>
      <w:bookmarkStart w:id="29" w:name="OLE_LINK16"/>
      <w:r>
        <w:rPr>
          <w:i/>
          <w:iCs/>
          <w:sz w:val="20"/>
          <w:szCs w:val="20"/>
        </w:rPr>
        <w:t>the requirements are met provided that the SSB of at least one of the satellites to be measured in this SMTC period is available at the UE side</w:t>
      </w:r>
      <w:bookmarkEnd w:id="29"/>
      <w:r>
        <w:rPr>
          <w:i/>
          <w:iCs/>
          <w:sz w:val="20"/>
          <w:szCs w:val="20"/>
        </w:rPr>
        <w:t>.</w:t>
      </w:r>
    </w:p>
    <w:p w14:paraId="76E8CD28">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i/>
          <w:iCs/>
          <w:sz w:val="20"/>
          <w:szCs w:val="20"/>
        </w:rPr>
      </w:pPr>
      <w:r>
        <w:rPr>
          <w:i/>
          <w:iCs/>
          <w:sz w:val="20"/>
          <w:szCs w:val="20"/>
        </w:rPr>
        <w:t xml:space="preserve">Proposal </w:t>
      </w:r>
      <w:r>
        <w:rPr>
          <w:rFonts w:hint="eastAsia"/>
          <w:i/>
          <w:iCs/>
          <w:sz w:val="20"/>
          <w:szCs w:val="20"/>
        </w:rPr>
        <w:t>3</w:t>
      </w:r>
      <w:r>
        <w:rPr>
          <w:i/>
          <w:iCs/>
          <w:sz w:val="20"/>
          <w:szCs w:val="20"/>
        </w:rPr>
        <w:t>: For HD RedCap and eRedCap UEs, RAN4 to adopt a high level statement that the requirement does not count resources, channels, SSB, etc if they overlap with the other direction as specified a valid case in RAN1 specification.</w:t>
      </w:r>
    </w:p>
    <w:p w14:paraId="6DF04624">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i/>
          <w:iCs/>
          <w:sz w:val="20"/>
          <w:szCs w:val="20"/>
        </w:rPr>
      </w:pPr>
      <w:r>
        <w:rPr>
          <w:i/>
          <w:iCs/>
          <w:sz w:val="20"/>
          <w:szCs w:val="20"/>
        </w:rPr>
        <w:t xml:space="preserve">Proposal </w:t>
      </w:r>
      <w:r>
        <w:rPr>
          <w:rFonts w:hint="eastAsia"/>
          <w:i/>
          <w:iCs/>
          <w:sz w:val="20"/>
          <w:szCs w:val="20"/>
        </w:rPr>
        <w:t>4</w:t>
      </w:r>
      <w:r>
        <w:rPr>
          <w:i/>
          <w:iCs/>
          <w:sz w:val="20"/>
          <w:szCs w:val="20"/>
        </w:rPr>
        <w:t>: RAN4 should further discuss measurement behavior for collision between SMTC and UL when network indicates UL overriding DL in HD-FDD.</w:t>
      </w:r>
    </w:p>
    <w:p w14:paraId="714368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For NTN specific aspects, the DL and UL collision error due to mismatch between actual TA used by UE and assumed TA at the gNB may need to further considered. RAN1 has achieved several solutions listed as below:</w:t>
      </w:r>
    </w:p>
    <w:tbl>
      <w:tblPr>
        <w:tblStyle w:val="21"/>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7"/>
      </w:tblGrid>
      <w:tr w14:paraId="7CB4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07" w:type="dxa"/>
          </w:tcPr>
          <w:p w14:paraId="3A960512">
            <w:pPr>
              <w:keepNext w:val="0"/>
              <w:keepLines w:val="0"/>
              <w:pageBreakBefore w:val="0"/>
              <w:widowControl/>
              <w:kinsoku/>
              <w:wordWrap/>
              <w:topLinePunct w:val="0"/>
              <w:bidi w:val="0"/>
              <w:snapToGrid/>
              <w:spacing w:before="60" w:after="60"/>
              <w:rPr>
                <w:rFonts w:eastAsia="宋体"/>
                <w:bCs/>
                <w:i/>
                <w:iCs/>
                <w:sz w:val="20"/>
                <w:szCs w:val="15"/>
                <w:lang w:val="en-US" w:eastAsia="zh-CN"/>
              </w:rPr>
            </w:pPr>
            <w:r>
              <w:rPr>
                <w:rFonts w:eastAsia="宋体"/>
                <w:bCs/>
                <w:i/>
                <w:iCs/>
                <w:sz w:val="20"/>
                <w:szCs w:val="15"/>
                <w:highlight w:val="green"/>
                <w:lang w:val="en-US" w:eastAsia="zh-CN"/>
              </w:rPr>
              <w:t>Agreement</w:t>
            </w:r>
          </w:p>
          <w:p w14:paraId="1E4A565A">
            <w:pPr>
              <w:keepNext w:val="0"/>
              <w:keepLines w:val="0"/>
              <w:pageBreakBefore w:val="0"/>
              <w:widowControl/>
              <w:kinsoku/>
              <w:wordWrap/>
              <w:topLinePunct w:val="0"/>
              <w:bidi w:val="0"/>
              <w:snapToGrid/>
              <w:spacing w:before="60" w:after="60"/>
              <w:rPr>
                <w:rFonts w:eastAsia="宋体"/>
                <w:bCs/>
                <w:i/>
                <w:iCs/>
                <w:sz w:val="20"/>
                <w:szCs w:val="15"/>
                <w:lang w:val="en-US" w:eastAsia="zh-CN"/>
              </w:rPr>
            </w:pPr>
            <w:r>
              <w:rPr>
                <w:rFonts w:hint="eastAsia" w:eastAsia="宋体"/>
                <w:bCs/>
                <w:i/>
                <w:iCs/>
                <w:sz w:val="20"/>
                <w:szCs w:val="15"/>
                <w:lang w:val="en-US" w:eastAsia="zh-CN"/>
              </w:rPr>
              <w:t>For Rel-19 HD-FDD (e)Redcap UE</w:t>
            </w:r>
            <w:r>
              <w:rPr>
                <w:rFonts w:eastAsia="宋体"/>
                <w:bCs/>
                <w:i/>
                <w:iCs/>
                <w:sz w:val="20"/>
                <w:szCs w:val="15"/>
                <w:lang w:val="en-US" w:eastAsia="zh-CN"/>
              </w:rPr>
              <w:t xml:space="preserve"> in RRC connected mode, </w:t>
            </w:r>
            <w:r>
              <w:rPr>
                <w:rFonts w:hint="eastAsia" w:eastAsia="宋体"/>
                <w:bCs/>
                <w:i/>
                <w:iCs/>
                <w:sz w:val="20"/>
                <w:szCs w:val="15"/>
                <w:lang w:val="en-US" w:eastAsia="zh-CN"/>
              </w:rPr>
              <w:t xml:space="preserve">for </w:t>
            </w:r>
            <w:r>
              <w:rPr>
                <w:rFonts w:eastAsia="宋体"/>
                <w:bCs/>
                <w:i/>
                <w:iCs/>
                <w:sz w:val="20"/>
                <w:szCs w:val="15"/>
                <w:lang w:val="en-US" w:eastAsia="zh-CN"/>
              </w:rPr>
              <w:t xml:space="preserve">collision </w:t>
            </w:r>
            <w:r>
              <w:rPr>
                <w:rFonts w:hint="eastAsia" w:eastAsia="宋体"/>
                <w:bCs/>
                <w:i/>
                <w:iCs/>
                <w:sz w:val="20"/>
                <w:szCs w:val="15"/>
                <w:lang w:val="en-US" w:eastAsia="zh-CN"/>
              </w:rPr>
              <w:t>case 3</w:t>
            </w:r>
            <w:r>
              <w:rPr>
                <w:rFonts w:eastAsia="宋体"/>
                <w:bCs/>
                <w:i/>
                <w:iCs/>
                <w:sz w:val="20"/>
                <w:szCs w:val="15"/>
                <w:lang w:val="en-US" w:eastAsia="zh-CN"/>
              </w:rPr>
              <w:t xml:space="preserve">, </w:t>
            </w:r>
          </w:p>
          <w:p w14:paraId="6E3547FF">
            <w:pPr>
              <w:keepNext w:val="0"/>
              <w:keepLines w:val="0"/>
              <w:pageBreakBefore w:val="0"/>
              <w:widowControl/>
              <w:numPr>
                <w:ilvl w:val="0"/>
                <w:numId w:val="9"/>
              </w:numPr>
              <w:tabs>
                <w:tab w:val="left" w:pos="420"/>
              </w:tabs>
              <w:kinsoku/>
              <w:wordWrap/>
              <w:topLinePunct w:val="0"/>
              <w:bidi w:val="0"/>
              <w:snapToGrid/>
              <w:spacing w:before="60" w:after="60"/>
              <w:rPr>
                <w:rFonts w:eastAsia="宋体"/>
                <w:bCs/>
                <w:i/>
                <w:iCs/>
                <w:sz w:val="20"/>
                <w:szCs w:val="15"/>
                <w:lang w:val="en-US" w:eastAsia="zh-CN"/>
              </w:rPr>
            </w:pPr>
            <w:r>
              <w:rPr>
                <w:rFonts w:hint="eastAsia" w:eastAsia="宋体"/>
                <w:bCs/>
                <w:i/>
                <w:iCs/>
                <w:sz w:val="20"/>
                <w:szCs w:val="15"/>
                <w:lang w:val="en-US" w:eastAsia="zh-CN"/>
              </w:rPr>
              <w:t>H</w:t>
            </w:r>
            <w:r>
              <w:rPr>
                <w:rFonts w:eastAsia="宋体"/>
                <w:bCs/>
                <w:i/>
                <w:iCs/>
                <w:sz w:val="20"/>
                <w:szCs w:val="15"/>
                <w:lang w:val="en-US" w:eastAsia="zh-CN"/>
              </w:rPr>
              <w:t>andling of collision with Type-0/0A/1/2-PDCCH CSS</w:t>
            </w:r>
            <w:r>
              <w:rPr>
                <w:rFonts w:hint="eastAsia" w:eastAsia="宋体"/>
                <w:bCs/>
                <w:i/>
                <w:iCs/>
                <w:sz w:val="20"/>
                <w:szCs w:val="15"/>
                <w:lang w:val="en-US" w:eastAsia="zh-CN"/>
              </w:rPr>
              <w:t xml:space="preserve"> in RRC-Connected mode </w:t>
            </w:r>
            <w:r>
              <w:rPr>
                <w:rFonts w:eastAsia="宋体"/>
                <w:bCs/>
                <w:i/>
                <w:iCs/>
                <w:sz w:val="20"/>
                <w:szCs w:val="15"/>
                <w:lang w:val="en-US" w:eastAsia="zh-CN"/>
              </w:rPr>
              <w:t>is left to UE implementation whether to prioritize UL or prioritize DL</w:t>
            </w:r>
            <w:r>
              <w:rPr>
                <w:rFonts w:hint="eastAsia" w:eastAsia="宋体"/>
                <w:bCs/>
                <w:i/>
                <w:iCs/>
                <w:sz w:val="20"/>
                <w:szCs w:val="15"/>
                <w:lang w:val="en-US" w:eastAsia="zh-CN"/>
              </w:rPr>
              <w:t xml:space="preserve"> with the constraint in the following note</w:t>
            </w:r>
            <w:r>
              <w:rPr>
                <w:rFonts w:eastAsia="宋体"/>
                <w:bCs/>
                <w:i/>
                <w:iCs/>
                <w:sz w:val="20"/>
                <w:szCs w:val="15"/>
                <w:lang w:val="en-US" w:eastAsia="zh-CN"/>
              </w:rPr>
              <w:t>.</w:t>
            </w:r>
          </w:p>
          <w:p w14:paraId="5654ECEE">
            <w:pPr>
              <w:keepNext w:val="0"/>
              <w:keepLines w:val="0"/>
              <w:pageBreakBefore w:val="0"/>
              <w:widowControl/>
              <w:numPr>
                <w:ilvl w:val="0"/>
                <w:numId w:val="9"/>
              </w:numPr>
              <w:tabs>
                <w:tab w:val="left" w:pos="420"/>
              </w:tabs>
              <w:kinsoku/>
              <w:wordWrap/>
              <w:topLinePunct w:val="0"/>
              <w:bidi w:val="0"/>
              <w:snapToGrid/>
              <w:spacing w:before="60" w:after="60"/>
              <w:rPr>
                <w:rFonts w:eastAsia="宋体"/>
                <w:bCs/>
                <w:i/>
                <w:iCs/>
                <w:sz w:val="20"/>
                <w:szCs w:val="15"/>
                <w:lang w:val="en-US" w:eastAsia="zh-CN"/>
              </w:rPr>
            </w:pPr>
            <w:r>
              <w:rPr>
                <w:rFonts w:eastAsia="宋体"/>
                <w:bCs/>
                <w:i/>
                <w:iCs/>
                <w:sz w:val="20"/>
                <w:szCs w:val="15"/>
                <w:lang w:val="en-US" w:eastAsia="zh-CN"/>
              </w:rPr>
              <w:t xml:space="preserve">For other use cases, </w:t>
            </w:r>
            <w:r>
              <w:rPr>
                <w:rFonts w:hint="eastAsia" w:eastAsia="宋体"/>
                <w:bCs/>
                <w:i/>
                <w:iCs/>
                <w:sz w:val="20"/>
                <w:szCs w:val="15"/>
                <w:lang w:val="en-US" w:eastAsia="zh-CN"/>
              </w:rPr>
              <w:t xml:space="preserve">default priority rule for </w:t>
            </w:r>
            <w:r>
              <w:rPr>
                <w:rFonts w:eastAsia="宋体"/>
                <w:bCs/>
                <w:i/>
                <w:iCs/>
                <w:sz w:val="20"/>
                <w:szCs w:val="15"/>
                <w:lang w:val="en-US" w:eastAsia="zh-CN"/>
              </w:rPr>
              <w:t xml:space="preserve">collision </w:t>
            </w:r>
            <w:r>
              <w:rPr>
                <w:rFonts w:hint="eastAsia" w:eastAsia="宋体"/>
                <w:bCs/>
                <w:i/>
                <w:iCs/>
                <w:sz w:val="20"/>
                <w:szCs w:val="15"/>
                <w:lang w:val="en-US" w:eastAsia="zh-CN"/>
              </w:rPr>
              <w:t>case 3 in RRC-Connected mode is that DL is prioritized.</w:t>
            </w:r>
          </w:p>
          <w:p w14:paraId="30175E28">
            <w:pPr>
              <w:keepNext w:val="0"/>
              <w:keepLines w:val="0"/>
              <w:pageBreakBefore w:val="0"/>
              <w:widowControl/>
              <w:numPr>
                <w:ilvl w:val="1"/>
                <w:numId w:val="9"/>
              </w:numPr>
              <w:kinsoku/>
              <w:wordWrap/>
              <w:topLinePunct w:val="0"/>
              <w:bidi w:val="0"/>
              <w:snapToGrid/>
              <w:spacing w:before="60" w:after="60"/>
              <w:ind w:left="2140"/>
              <w:rPr>
                <w:rFonts w:eastAsia="宋体"/>
                <w:bCs/>
                <w:i/>
                <w:iCs/>
                <w:sz w:val="20"/>
                <w:szCs w:val="15"/>
                <w:lang w:val="en-US" w:eastAsia="zh-CN"/>
              </w:rPr>
            </w:pPr>
            <w:r>
              <w:rPr>
                <w:rFonts w:hint="eastAsia" w:eastAsia="宋体"/>
                <w:bCs/>
                <w:i/>
                <w:iCs/>
                <w:sz w:val="20"/>
                <w:szCs w:val="15"/>
                <w:lang w:val="en-US" w:eastAsia="zh-CN"/>
              </w:rPr>
              <w:t>Network is allowed to indicate UL overriding DL</w:t>
            </w:r>
            <w:r>
              <w:rPr>
                <w:rFonts w:eastAsia="宋体"/>
                <w:bCs/>
                <w:i/>
                <w:iCs/>
                <w:sz w:val="20"/>
                <w:szCs w:val="15"/>
                <w:lang w:val="en-US" w:eastAsia="zh-CN"/>
              </w:rPr>
              <w:t xml:space="preserve"> for all the other use cases above</w:t>
            </w:r>
          </w:p>
          <w:p w14:paraId="6DF4445B">
            <w:pPr>
              <w:keepNext w:val="0"/>
              <w:keepLines w:val="0"/>
              <w:pageBreakBefore w:val="0"/>
              <w:widowControl/>
              <w:numPr>
                <w:ilvl w:val="2"/>
                <w:numId w:val="9"/>
              </w:numPr>
              <w:kinsoku/>
              <w:wordWrap/>
              <w:topLinePunct w:val="0"/>
              <w:bidi w:val="0"/>
              <w:snapToGrid/>
              <w:spacing w:before="60" w:after="60"/>
              <w:ind w:left="2860"/>
              <w:rPr>
                <w:rFonts w:eastAsia="宋体"/>
                <w:bCs/>
                <w:i/>
                <w:iCs/>
                <w:sz w:val="20"/>
                <w:szCs w:val="15"/>
                <w:lang w:val="en-US" w:eastAsia="zh-CN"/>
              </w:rPr>
            </w:pPr>
            <w:r>
              <w:rPr>
                <w:rFonts w:eastAsia="宋体"/>
                <w:bCs/>
                <w:i/>
                <w:iCs/>
                <w:sz w:val="20"/>
                <w:szCs w:val="15"/>
                <w:lang w:val="en-US" w:eastAsia="zh-CN"/>
              </w:rPr>
              <w:t>This is signaled by RRC configuration</w:t>
            </w:r>
          </w:p>
          <w:p w14:paraId="30042E31">
            <w:pPr>
              <w:keepNext w:val="0"/>
              <w:keepLines w:val="0"/>
              <w:pageBreakBefore w:val="0"/>
              <w:widowControl/>
              <w:kinsoku/>
              <w:wordWrap/>
              <w:topLinePunct w:val="0"/>
              <w:bidi w:val="0"/>
              <w:snapToGrid/>
              <w:spacing w:before="60" w:after="60"/>
              <w:jc w:val="both"/>
              <w:rPr>
                <w:rFonts w:eastAsia="宋体"/>
                <w:i/>
                <w:iCs/>
                <w:sz w:val="20"/>
                <w:szCs w:val="15"/>
                <w:lang w:val="en-US" w:eastAsia="zh-CN"/>
              </w:rPr>
            </w:pPr>
          </w:p>
          <w:p w14:paraId="6817F521">
            <w:pPr>
              <w:keepNext w:val="0"/>
              <w:keepLines w:val="0"/>
              <w:pageBreakBefore w:val="0"/>
              <w:widowControl/>
              <w:kinsoku/>
              <w:wordWrap/>
              <w:topLinePunct w:val="0"/>
              <w:bidi w:val="0"/>
              <w:snapToGrid/>
              <w:spacing w:before="60" w:after="60"/>
              <w:jc w:val="both"/>
              <w:rPr>
                <w:rFonts w:eastAsia="宋体"/>
                <w:i/>
                <w:iCs/>
                <w:sz w:val="20"/>
                <w:szCs w:val="15"/>
                <w:lang w:val="en-US" w:eastAsia="zh-CN"/>
              </w:rPr>
            </w:pPr>
            <w:r>
              <w:rPr>
                <w:rFonts w:hint="eastAsia" w:eastAsia="宋体"/>
                <w:i/>
                <w:iCs/>
                <w:sz w:val="20"/>
                <w:szCs w:val="15"/>
                <w:lang w:val="en-US" w:eastAsia="zh-CN"/>
              </w:rPr>
              <w:t>Note: UE shall comply to the following existing procedure in 38.331:</w:t>
            </w:r>
          </w:p>
          <w:p w14:paraId="7C59CA75">
            <w:pPr>
              <w:keepNext w:val="0"/>
              <w:keepLines w:val="0"/>
              <w:pageBreakBefore w:val="0"/>
              <w:widowControl/>
              <w:kinsoku/>
              <w:wordWrap/>
              <w:topLinePunct w:val="0"/>
              <w:bidi w:val="0"/>
              <w:snapToGrid/>
              <w:spacing w:before="60" w:after="60"/>
              <w:ind w:left="240" w:leftChars="100"/>
              <w:jc w:val="both"/>
              <w:rPr>
                <w:i/>
                <w:iCs/>
                <w:sz w:val="20"/>
                <w:szCs w:val="15"/>
              </w:rPr>
            </w:pPr>
            <w:r>
              <w:rPr>
                <w:rFonts w:eastAsia="宋体"/>
                <w:i/>
                <w:iCs/>
                <w:sz w:val="20"/>
                <w:szCs w:val="15"/>
              </w:rPr>
              <w:t xml:space="preserve">UEs in </w:t>
            </w:r>
            <w:r>
              <w:rPr>
                <w:i/>
                <w:iCs/>
                <w:sz w:val="20"/>
                <w:szCs w:val="15"/>
              </w:rPr>
              <w:t xml:space="preserve">RRC_CONNECTED </w:t>
            </w:r>
            <w:r>
              <w:rPr>
                <w:rFonts w:eastAsia="宋体"/>
                <w:i/>
                <w:iCs/>
                <w:sz w:val="20"/>
                <w:szCs w:val="15"/>
              </w:rPr>
              <w:t>shall</w:t>
            </w:r>
            <w:r>
              <w:rPr>
                <w:i/>
                <w:iCs/>
                <w:sz w:val="20"/>
                <w:szCs w:val="15"/>
              </w:rPr>
              <w:t xml:space="preserve">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w:t>
            </w:r>
          </w:p>
          <w:p w14:paraId="5BCE8DD3">
            <w:pPr>
              <w:keepNext w:val="0"/>
              <w:keepLines w:val="0"/>
              <w:pageBreakBefore w:val="0"/>
              <w:widowControl/>
              <w:kinsoku/>
              <w:wordWrap/>
              <w:topLinePunct w:val="0"/>
              <w:bidi w:val="0"/>
              <w:snapToGrid/>
              <w:spacing w:before="60" w:after="60"/>
              <w:rPr>
                <w:rFonts w:eastAsia="宋体"/>
                <w:b/>
                <w:bCs/>
                <w:i/>
                <w:iCs/>
                <w:sz w:val="20"/>
                <w:szCs w:val="20"/>
                <w:lang w:val="en-US" w:eastAsia="zh-CN"/>
              </w:rPr>
            </w:pPr>
          </w:p>
          <w:p w14:paraId="60815D8A">
            <w:pPr>
              <w:keepNext w:val="0"/>
              <w:keepLines w:val="0"/>
              <w:pageBreakBefore w:val="0"/>
              <w:widowControl/>
              <w:kinsoku/>
              <w:wordWrap/>
              <w:topLinePunct w:val="0"/>
              <w:bidi w:val="0"/>
              <w:snapToGrid/>
              <w:spacing w:before="60" w:after="60"/>
              <w:rPr>
                <w:i/>
                <w:iCs/>
                <w:sz w:val="20"/>
                <w:szCs w:val="20"/>
                <w:lang w:val="en-US" w:eastAsia="ko-KR"/>
              </w:rPr>
            </w:pPr>
            <w:r>
              <w:rPr>
                <w:i/>
                <w:iCs/>
                <w:sz w:val="20"/>
                <w:szCs w:val="20"/>
                <w:highlight w:val="green"/>
                <w:lang w:val="en-US" w:eastAsia="ko-KR"/>
              </w:rPr>
              <w:t>Agreement</w:t>
            </w:r>
          </w:p>
          <w:p w14:paraId="0FFEC2BB">
            <w:pPr>
              <w:keepNext w:val="0"/>
              <w:keepLines w:val="0"/>
              <w:pageBreakBefore w:val="0"/>
              <w:widowControl/>
              <w:kinsoku/>
              <w:wordWrap/>
              <w:topLinePunct w:val="0"/>
              <w:bidi w:val="0"/>
              <w:snapToGrid/>
              <w:spacing w:before="60" w:after="60"/>
              <w:rPr>
                <w:i/>
                <w:iCs/>
                <w:sz w:val="20"/>
                <w:szCs w:val="20"/>
                <w:lang w:val="en-US" w:eastAsia="ko-KR"/>
              </w:rPr>
            </w:pPr>
            <w:r>
              <w:rPr>
                <w:i/>
                <w:iCs/>
                <w:sz w:val="20"/>
                <w:szCs w:val="20"/>
                <w:lang w:val="en-US" w:eastAsia="ko-KR"/>
              </w:rPr>
              <w:t>When network indicates UL overriding DL in RRC-Connected mode for collision case 3, one UE-specific RRC parameter is used to indicate overriding for all the applicable other use cases except for collisions with Type-0/0A/1/2-PDCCH CSS.</w:t>
            </w:r>
          </w:p>
          <w:p w14:paraId="1197D26F">
            <w:pPr>
              <w:keepNext w:val="0"/>
              <w:keepLines w:val="0"/>
              <w:pageBreakBefore w:val="0"/>
              <w:widowControl/>
              <w:kinsoku/>
              <w:wordWrap/>
              <w:topLinePunct w:val="0"/>
              <w:bidi w:val="0"/>
              <w:snapToGrid/>
              <w:spacing w:before="60" w:after="60"/>
              <w:rPr>
                <w:rFonts w:eastAsia="宋体"/>
                <w:b/>
                <w:bCs/>
                <w:i/>
                <w:iCs/>
                <w:sz w:val="20"/>
                <w:szCs w:val="20"/>
                <w:lang w:val="en-US" w:eastAsia="zh-CN"/>
              </w:rPr>
            </w:pPr>
          </w:p>
          <w:p w14:paraId="2F88DCD2">
            <w:pPr>
              <w:keepNext w:val="0"/>
              <w:keepLines w:val="0"/>
              <w:pageBreakBefore w:val="0"/>
              <w:widowControl/>
              <w:kinsoku/>
              <w:wordWrap/>
              <w:topLinePunct w:val="0"/>
              <w:bidi w:val="0"/>
              <w:snapToGrid/>
              <w:spacing w:before="60" w:after="60"/>
              <w:rPr>
                <w:rFonts w:eastAsia="宋体"/>
                <w:b/>
                <w:i/>
                <w:iCs/>
                <w:sz w:val="20"/>
                <w:szCs w:val="20"/>
                <w:highlight w:val="darkYellow"/>
                <w:lang w:eastAsia="zh-CN"/>
              </w:rPr>
            </w:pPr>
            <w:r>
              <w:rPr>
                <w:rFonts w:eastAsia="宋体"/>
                <w:b/>
                <w:i/>
                <w:iCs/>
                <w:sz w:val="20"/>
                <w:szCs w:val="20"/>
                <w:highlight w:val="darkYellow"/>
                <w:lang w:eastAsia="zh-CN"/>
              </w:rPr>
              <w:t>Working assumption</w:t>
            </w:r>
            <w:r>
              <w:rPr>
                <w:rFonts w:hint="eastAsia" w:eastAsia="宋体"/>
                <w:b/>
                <w:i/>
                <w:iCs/>
                <w:sz w:val="20"/>
                <w:szCs w:val="20"/>
                <w:highlight w:val="darkYellow"/>
                <w:lang w:eastAsia="zh-CN"/>
              </w:rPr>
              <w:t xml:space="preserve"> </w:t>
            </w:r>
          </w:p>
          <w:p w14:paraId="3D2D1DF9">
            <w:pPr>
              <w:keepNext w:val="0"/>
              <w:keepLines w:val="0"/>
              <w:pageBreakBefore w:val="0"/>
              <w:widowControl/>
              <w:kinsoku/>
              <w:wordWrap/>
              <w:topLinePunct w:val="0"/>
              <w:bidi w:val="0"/>
              <w:snapToGrid/>
              <w:spacing w:before="60" w:after="60"/>
              <w:rPr>
                <w:rFonts w:cs="Times" w:eastAsiaTheme="minorEastAsia"/>
                <w:i/>
                <w:iCs/>
                <w:sz w:val="20"/>
                <w:szCs w:val="20"/>
                <w:lang w:eastAsia="zh-CN"/>
              </w:rPr>
            </w:pPr>
            <w:r>
              <w:rPr>
                <w:i/>
                <w:iCs/>
                <w:sz w:val="20"/>
                <w:szCs w:val="20"/>
              </w:rPr>
              <w:t xml:space="preserve">For Rel-19 </w:t>
            </w:r>
            <w:r>
              <w:rPr>
                <w:rFonts w:hint="eastAsia" w:eastAsia="宋体"/>
                <w:i/>
                <w:iCs/>
                <w:sz w:val="20"/>
                <w:szCs w:val="20"/>
                <w:lang w:eastAsia="zh-CN"/>
              </w:rPr>
              <w:t xml:space="preserve">NTN </w:t>
            </w:r>
            <w:r>
              <w:rPr>
                <w:i/>
                <w:iCs/>
                <w:sz w:val="20"/>
                <w:szCs w:val="20"/>
              </w:rPr>
              <w:t xml:space="preserve">HD-FDD (e)Redcap UE in RRC connected mode, </w:t>
            </w:r>
            <w:r>
              <w:rPr>
                <w:rFonts w:hint="eastAsia" w:eastAsia="宋体"/>
                <w:i/>
                <w:iCs/>
                <w:sz w:val="20"/>
                <w:szCs w:val="20"/>
                <w:lang w:eastAsia="zh-CN"/>
              </w:rPr>
              <w:t xml:space="preserve">the following handling rule </w:t>
            </w:r>
            <w:r>
              <w:rPr>
                <w:i/>
                <w:iCs/>
                <w:sz w:val="20"/>
                <w:szCs w:val="20"/>
              </w:rPr>
              <w:t>for collision case 4</w:t>
            </w:r>
            <w:r>
              <w:rPr>
                <w:rFonts w:hint="eastAsia" w:eastAsia="宋体"/>
                <w:i/>
                <w:iCs/>
                <w:sz w:val="20"/>
                <w:szCs w:val="20"/>
                <w:lang w:eastAsia="zh-CN"/>
              </w:rPr>
              <w:t xml:space="preserve"> is supported:</w:t>
            </w:r>
          </w:p>
          <w:p w14:paraId="5512E428">
            <w:pPr>
              <w:pStyle w:val="75"/>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Chars="0"/>
              <w:textAlignment w:val="baseline"/>
              <w:rPr>
                <w:rFonts w:cs="Times"/>
                <w:i/>
                <w:iCs/>
                <w:color w:val="000000"/>
                <w:sz w:val="20"/>
                <w:szCs w:val="20"/>
                <w:lang w:val="en-US"/>
              </w:rPr>
            </w:pPr>
            <w:r>
              <w:rPr>
                <w:rFonts w:cs="Times"/>
                <w:i/>
                <w:iCs/>
                <w:color w:val="000000"/>
                <w:sz w:val="20"/>
                <w:szCs w:val="20"/>
                <w:lang w:val="en-US"/>
              </w:rPr>
              <w:t xml:space="preserve">Handling of collision with </w:t>
            </w:r>
            <w:r>
              <w:rPr>
                <w:rFonts w:hint="eastAsia" w:cs="Times"/>
                <w:i/>
                <w:iCs/>
                <w:color w:val="000000"/>
                <w:sz w:val="20"/>
                <w:szCs w:val="20"/>
                <w:lang w:val="en-US"/>
              </w:rPr>
              <w:t xml:space="preserve">PDSCH </w:t>
            </w:r>
            <w:r>
              <w:rPr>
                <w:rFonts w:cs="Times"/>
                <w:i/>
                <w:iCs/>
                <w:color w:val="000000"/>
                <w:sz w:val="20"/>
                <w:szCs w:val="20"/>
                <w:lang w:val="en-US"/>
              </w:rPr>
              <w:t xml:space="preserve">(at least for system information) </w:t>
            </w:r>
            <w:r>
              <w:rPr>
                <w:rFonts w:hint="eastAsia" w:cs="Times"/>
                <w:i/>
                <w:iCs/>
                <w:color w:val="000000"/>
                <w:sz w:val="20"/>
                <w:szCs w:val="20"/>
                <w:lang w:val="en-US"/>
              </w:rPr>
              <w:t xml:space="preserve">scheduled by </w:t>
            </w:r>
            <w:r>
              <w:rPr>
                <w:rFonts w:cs="Times"/>
                <w:i/>
                <w:iCs/>
                <w:color w:val="000000"/>
                <w:sz w:val="20"/>
                <w:szCs w:val="20"/>
                <w:lang w:val="en-US"/>
              </w:rPr>
              <w:t>Type-0/0A[/1][/2]-PDCCH CSS in RRC-Connected mode is left to UE implementation whether to prioritize UL or prioritize DL with the constraint in the following note.</w:t>
            </w:r>
          </w:p>
          <w:p w14:paraId="0C1794BD">
            <w:pPr>
              <w:pStyle w:val="75"/>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Chars="0"/>
              <w:textAlignment w:val="baseline"/>
              <w:rPr>
                <w:rFonts w:cs="Times"/>
                <w:i/>
                <w:iCs/>
                <w:color w:val="000000"/>
                <w:sz w:val="20"/>
                <w:szCs w:val="20"/>
                <w:lang w:val="en-US"/>
              </w:rPr>
            </w:pPr>
            <w:r>
              <w:rPr>
                <w:rFonts w:hint="eastAsia" w:cs="Times"/>
                <w:i/>
                <w:iCs/>
                <w:color w:val="000000"/>
                <w:sz w:val="20"/>
                <w:szCs w:val="20"/>
                <w:lang w:val="en-US"/>
              </w:rPr>
              <w:t>F</w:t>
            </w:r>
            <w:r>
              <w:rPr>
                <w:rFonts w:cs="Times"/>
                <w:i/>
                <w:iCs/>
                <w:color w:val="000000"/>
                <w:sz w:val="20"/>
                <w:szCs w:val="20"/>
                <w:lang w:val="en-US"/>
              </w:rPr>
              <w:t xml:space="preserve">FS: handling of </w:t>
            </w:r>
            <w:r>
              <w:rPr>
                <w:rFonts w:hint="eastAsia" w:cs="Times"/>
                <w:i/>
                <w:iCs/>
                <w:color w:val="000000"/>
                <w:sz w:val="20"/>
                <w:szCs w:val="20"/>
                <w:lang w:val="en-US"/>
              </w:rPr>
              <w:t xml:space="preserve">PDCCH </w:t>
            </w:r>
            <w:r>
              <w:rPr>
                <w:rFonts w:cs="Times"/>
                <w:i/>
                <w:iCs/>
                <w:color w:val="000000"/>
                <w:sz w:val="20"/>
                <w:szCs w:val="20"/>
                <w:lang w:val="en-US"/>
              </w:rPr>
              <w:t>ordered</w:t>
            </w:r>
            <w:r>
              <w:rPr>
                <w:rFonts w:hint="eastAsia" w:cs="Times"/>
                <w:i/>
                <w:iCs/>
                <w:color w:val="000000"/>
                <w:sz w:val="20"/>
                <w:szCs w:val="20"/>
                <w:lang w:val="en-US"/>
              </w:rPr>
              <w:t xml:space="preserve"> PRACH transmission</w:t>
            </w:r>
          </w:p>
          <w:p w14:paraId="13440BE8">
            <w:pPr>
              <w:pStyle w:val="75"/>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Chars="0"/>
              <w:textAlignment w:val="baseline"/>
              <w:rPr>
                <w:rFonts w:cs="Times"/>
                <w:i/>
                <w:iCs/>
                <w:color w:val="000000"/>
                <w:sz w:val="20"/>
                <w:szCs w:val="20"/>
                <w:lang w:val="en-US"/>
              </w:rPr>
            </w:pPr>
            <w:r>
              <w:rPr>
                <w:rFonts w:cs="Times"/>
                <w:i/>
                <w:iCs/>
                <w:color w:val="000000"/>
                <w:sz w:val="20"/>
                <w:szCs w:val="20"/>
                <w:lang w:val="en-US"/>
              </w:rPr>
              <w:t>For other use cases,</w:t>
            </w:r>
            <w:r>
              <w:rPr>
                <w:rFonts w:hint="eastAsia" w:cs="Times"/>
                <w:i/>
                <w:iCs/>
                <w:color w:val="000000"/>
                <w:sz w:val="20"/>
                <w:szCs w:val="20"/>
                <w:lang w:val="en-US"/>
              </w:rPr>
              <w:t xml:space="preserve"> d</w:t>
            </w:r>
            <w:r>
              <w:rPr>
                <w:rFonts w:cs="Times"/>
                <w:i/>
                <w:iCs/>
                <w:color w:val="000000"/>
                <w:sz w:val="20"/>
                <w:szCs w:val="20"/>
                <w:lang w:val="en-US"/>
              </w:rPr>
              <w:t xml:space="preserve">efault priority rule for collision case 4 in RRC-Connected mode is that </w:t>
            </w:r>
            <w:r>
              <w:rPr>
                <w:rFonts w:hint="eastAsia" w:cs="Times"/>
                <w:i/>
                <w:iCs/>
                <w:color w:val="000000"/>
                <w:sz w:val="20"/>
                <w:szCs w:val="20"/>
                <w:lang w:val="en-US"/>
              </w:rPr>
              <w:t>[</w:t>
            </w:r>
            <w:r>
              <w:rPr>
                <w:rFonts w:cs="Times"/>
                <w:i/>
                <w:iCs/>
                <w:color w:val="000000"/>
                <w:sz w:val="20"/>
                <w:szCs w:val="20"/>
                <w:lang w:val="en-US"/>
              </w:rPr>
              <w:t>DL or UL</w:t>
            </w:r>
            <w:r>
              <w:rPr>
                <w:rFonts w:hint="eastAsia" w:cs="Times"/>
                <w:i/>
                <w:iCs/>
                <w:color w:val="000000"/>
                <w:sz w:val="20"/>
                <w:szCs w:val="20"/>
                <w:lang w:val="en-US"/>
              </w:rPr>
              <w:t>]</w:t>
            </w:r>
            <w:r>
              <w:rPr>
                <w:rFonts w:cs="Times"/>
                <w:i/>
                <w:iCs/>
                <w:color w:val="000000"/>
                <w:sz w:val="20"/>
                <w:szCs w:val="20"/>
                <w:lang w:val="en-US"/>
              </w:rPr>
              <w:t xml:space="preserve"> is prioritized.</w:t>
            </w:r>
          </w:p>
          <w:p w14:paraId="1B3F7C94">
            <w:pPr>
              <w:pStyle w:val="75"/>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Chars="0"/>
              <w:textAlignment w:val="baseline"/>
              <w:rPr>
                <w:rFonts w:cs="Times"/>
                <w:i/>
                <w:iCs/>
                <w:color w:val="000000"/>
                <w:sz w:val="20"/>
                <w:szCs w:val="20"/>
                <w:lang w:val="en-US"/>
              </w:rPr>
            </w:pPr>
            <w:r>
              <w:rPr>
                <w:rFonts w:cs="Times"/>
                <w:i/>
                <w:iCs/>
                <w:color w:val="000000"/>
                <w:sz w:val="20"/>
                <w:szCs w:val="20"/>
                <w:lang w:val="en-US"/>
              </w:rPr>
              <w:t xml:space="preserve">Network is allowed to indicate </w:t>
            </w:r>
            <w:r>
              <w:rPr>
                <w:rFonts w:hint="eastAsia" w:cs="Times"/>
                <w:i/>
                <w:iCs/>
                <w:color w:val="000000"/>
                <w:sz w:val="20"/>
                <w:szCs w:val="20"/>
                <w:lang w:val="en-US"/>
              </w:rPr>
              <w:t>[</w:t>
            </w:r>
            <w:r>
              <w:rPr>
                <w:rFonts w:cs="Times"/>
                <w:i/>
                <w:iCs/>
                <w:color w:val="000000"/>
                <w:sz w:val="20"/>
                <w:szCs w:val="20"/>
                <w:lang w:val="en-US"/>
              </w:rPr>
              <w:t>UL or DL</w:t>
            </w:r>
            <w:r>
              <w:rPr>
                <w:rFonts w:hint="eastAsia" w:cs="Times"/>
                <w:i/>
                <w:iCs/>
                <w:color w:val="000000"/>
                <w:sz w:val="20"/>
                <w:szCs w:val="20"/>
                <w:lang w:val="en-US"/>
              </w:rPr>
              <w:t>]</w:t>
            </w:r>
            <w:r>
              <w:rPr>
                <w:rFonts w:cs="Times"/>
                <w:i/>
                <w:iCs/>
                <w:color w:val="000000"/>
                <w:sz w:val="20"/>
                <w:szCs w:val="20"/>
                <w:lang w:val="en-US"/>
              </w:rPr>
              <w:t xml:space="preserve"> overriding </w:t>
            </w:r>
            <w:r>
              <w:rPr>
                <w:rFonts w:hint="eastAsia" w:cs="Times"/>
                <w:i/>
                <w:iCs/>
                <w:color w:val="000000"/>
                <w:sz w:val="20"/>
                <w:szCs w:val="20"/>
                <w:lang w:val="en-US"/>
              </w:rPr>
              <w:t>[</w:t>
            </w:r>
            <w:r>
              <w:rPr>
                <w:rFonts w:cs="Times"/>
                <w:i/>
                <w:iCs/>
                <w:color w:val="000000"/>
                <w:sz w:val="20"/>
                <w:szCs w:val="20"/>
                <w:lang w:val="en-US"/>
              </w:rPr>
              <w:t>DL or UL</w:t>
            </w:r>
            <w:r>
              <w:rPr>
                <w:rFonts w:hint="eastAsia" w:cs="Times"/>
                <w:i/>
                <w:iCs/>
                <w:color w:val="000000"/>
                <w:sz w:val="20"/>
                <w:szCs w:val="20"/>
                <w:lang w:val="en-US"/>
              </w:rPr>
              <w:t>]</w:t>
            </w:r>
            <w:r>
              <w:rPr>
                <w:rFonts w:cs="Times"/>
                <w:i/>
                <w:iCs/>
                <w:color w:val="000000"/>
                <w:sz w:val="20"/>
                <w:szCs w:val="20"/>
                <w:lang w:val="en-US"/>
              </w:rPr>
              <w:t xml:space="preserve"> for all cases</w:t>
            </w:r>
          </w:p>
          <w:p w14:paraId="0BBD01FA">
            <w:pPr>
              <w:pStyle w:val="75"/>
              <w:keepNext w:val="0"/>
              <w:keepLines w:val="0"/>
              <w:pageBreakBefore w:val="0"/>
              <w:widowControl/>
              <w:numPr>
                <w:ilvl w:val="2"/>
                <w:numId w:val="10"/>
              </w:numPr>
              <w:kinsoku/>
              <w:wordWrap/>
              <w:overflowPunct w:val="0"/>
              <w:topLinePunct w:val="0"/>
              <w:autoSpaceDE w:val="0"/>
              <w:autoSpaceDN w:val="0"/>
              <w:bidi w:val="0"/>
              <w:adjustRightInd w:val="0"/>
              <w:snapToGrid/>
              <w:spacing w:before="60" w:after="60"/>
              <w:ind w:leftChars="0"/>
              <w:textAlignment w:val="baseline"/>
              <w:rPr>
                <w:rFonts w:cs="Times"/>
                <w:i/>
                <w:iCs/>
                <w:color w:val="000000"/>
                <w:sz w:val="20"/>
                <w:szCs w:val="20"/>
                <w:lang w:val="en-US"/>
              </w:rPr>
            </w:pPr>
            <w:r>
              <w:rPr>
                <w:rFonts w:cs="Times"/>
                <w:i/>
                <w:iCs/>
                <w:color w:val="000000"/>
                <w:sz w:val="20"/>
                <w:szCs w:val="20"/>
                <w:lang w:val="en-US"/>
              </w:rPr>
              <w:t xml:space="preserve">This is signaled by </w:t>
            </w:r>
            <w:r>
              <w:rPr>
                <w:rFonts w:hint="eastAsia" w:cs="Times"/>
                <w:i/>
                <w:iCs/>
                <w:color w:val="000000"/>
                <w:sz w:val="20"/>
                <w:szCs w:val="20"/>
                <w:lang w:val="en-US"/>
              </w:rPr>
              <w:t xml:space="preserve">one UE specific </w:t>
            </w:r>
            <w:r>
              <w:rPr>
                <w:rFonts w:cs="Times"/>
                <w:i/>
                <w:iCs/>
                <w:color w:val="000000"/>
                <w:sz w:val="20"/>
                <w:szCs w:val="20"/>
                <w:lang w:val="en-US"/>
              </w:rPr>
              <w:t xml:space="preserve">RRC </w:t>
            </w:r>
            <w:r>
              <w:rPr>
                <w:rFonts w:hint="eastAsia" w:cs="Times"/>
                <w:i/>
                <w:iCs/>
                <w:color w:val="000000"/>
                <w:sz w:val="20"/>
                <w:szCs w:val="20"/>
                <w:lang w:val="en-US"/>
              </w:rPr>
              <w:t>parameter</w:t>
            </w:r>
          </w:p>
          <w:p w14:paraId="56E20B68">
            <w:pPr>
              <w:pStyle w:val="75"/>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Chars="0"/>
              <w:textAlignment w:val="baseline"/>
              <w:rPr>
                <w:rFonts w:cs="Times"/>
                <w:i/>
                <w:iCs/>
                <w:color w:val="000000"/>
                <w:sz w:val="20"/>
                <w:szCs w:val="20"/>
                <w:lang w:val="en-US"/>
              </w:rPr>
            </w:pPr>
            <w:r>
              <w:rPr>
                <w:rFonts w:hint="eastAsia" w:cs="Times"/>
                <w:i/>
                <w:iCs/>
                <w:color w:val="000000"/>
                <w:sz w:val="20"/>
                <w:szCs w:val="20"/>
                <w:lang w:val="en-US"/>
              </w:rPr>
              <w:t>N</w:t>
            </w:r>
            <w:r>
              <w:rPr>
                <w:rFonts w:cs="Times"/>
                <w:i/>
                <w:iCs/>
                <w:color w:val="000000"/>
                <w:sz w:val="20"/>
                <w:szCs w:val="20"/>
                <w:lang w:val="en-US"/>
              </w:rPr>
              <w:t>ote: if DL is prioritized, the DL prioritization applies only if the UL cancellation timeline can be satisfied, otherwise UL is prioritized.</w:t>
            </w:r>
          </w:p>
          <w:p w14:paraId="272CD589">
            <w:pPr>
              <w:keepNext w:val="0"/>
              <w:keepLines w:val="0"/>
              <w:pageBreakBefore w:val="0"/>
              <w:widowControl/>
              <w:kinsoku/>
              <w:wordWrap/>
              <w:topLinePunct w:val="0"/>
              <w:bidi w:val="0"/>
              <w:snapToGrid/>
              <w:spacing w:before="60" w:after="60"/>
              <w:ind w:firstLine="720"/>
              <w:jc w:val="both"/>
              <w:rPr>
                <w:rFonts w:eastAsia="宋体"/>
                <w:i/>
                <w:iCs/>
                <w:sz w:val="20"/>
                <w:szCs w:val="20"/>
              </w:rPr>
            </w:pPr>
            <w:r>
              <w:rPr>
                <w:rFonts w:eastAsia="宋体"/>
                <w:i/>
                <w:iCs/>
                <w:sz w:val="20"/>
                <w:szCs w:val="20"/>
              </w:rPr>
              <w:t>Note: UE shall comply to the following existing procedure in 38.331:</w:t>
            </w:r>
          </w:p>
          <w:p w14:paraId="04BBB5C5">
            <w:pPr>
              <w:keepNext w:val="0"/>
              <w:keepLines w:val="0"/>
              <w:pageBreakBefore w:val="0"/>
              <w:widowControl/>
              <w:numPr>
                <w:ilvl w:val="0"/>
                <w:numId w:val="11"/>
              </w:numPr>
              <w:kinsoku/>
              <w:wordWrap/>
              <w:overflowPunct w:val="0"/>
              <w:topLinePunct w:val="0"/>
              <w:autoSpaceDE w:val="0"/>
              <w:autoSpaceDN w:val="0"/>
              <w:bidi w:val="0"/>
              <w:adjustRightInd w:val="0"/>
              <w:snapToGrid/>
              <w:spacing w:before="60" w:after="60" w:line="259" w:lineRule="auto"/>
              <w:contextualSpacing/>
              <w:textAlignment w:val="baseline"/>
              <w:rPr>
                <w:rFonts w:eastAsia="宋体"/>
                <w:i/>
                <w:iCs/>
                <w:sz w:val="20"/>
                <w:szCs w:val="20"/>
                <w:lang w:eastAsia="zh-CN"/>
              </w:rPr>
            </w:pPr>
            <w:r>
              <w:rPr>
                <w:rFonts w:eastAsia="宋体"/>
                <w:i/>
                <w:iCs/>
                <w:sz w:val="20"/>
                <w:szCs w:val="20"/>
              </w:rPr>
              <w:t xml:space="preserve">UEs in </w:t>
            </w:r>
            <w:r>
              <w:rPr>
                <w:i/>
                <w:iCs/>
                <w:sz w:val="20"/>
                <w:szCs w:val="20"/>
              </w:rPr>
              <w:t xml:space="preserve">RRC_CONNECTED </w:t>
            </w:r>
            <w:r>
              <w:rPr>
                <w:rFonts w:eastAsia="宋体"/>
                <w:i/>
                <w:iCs/>
                <w:sz w:val="20"/>
                <w:szCs w:val="20"/>
              </w:rPr>
              <w:t>shall</w:t>
            </w:r>
            <w:r>
              <w:rPr>
                <w:i/>
                <w:iCs/>
                <w:sz w:val="20"/>
                <w:szCs w:val="20"/>
              </w:rPr>
              <w:t xml:space="preserve">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w:t>
            </w:r>
            <w:r>
              <w:rPr>
                <w:rFonts w:hint="eastAsia" w:eastAsia="宋体"/>
                <w:i/>
                <w:iCs/>
                <w:sz w:val="20"/>
                <w:szCs w:val="20"/>
                <w:lang w:eastAsia="zh-CN"/>
              </w:rPr>
              <w:t xml:space="preserve"> </w:t>
            </w:r>
          </w:p>
          <w:p w14:paraId="4C3C3848">
            <w:pPr>
              <w:keepNext w:val="0"/>
              <w:keepLines w:val="0"/>
              <w:pageBreakBefore w:val="0"/>
              <w:widowControl/>
              <w:kinsoku/>
              <w:wordWrap/>
              <w:topLinePunct w:val="0"/>
              <w:bidi w:val="0"/>
              <w:snapToGrid/>
              <w:spacing w:before="60" w:after="60"/>
              <w:rPr>
                <w:rFonts w:eastAsia="宋体"/>
                <w:b/>
                <w:bCs/>
                <w:i/>
                <w:iCs/>
                <w:sz w:val="20"/>
                <w:szCs w:val="20"/>
                <w:lang w:val="en-US" w:eastAsia="zh-CN"/>
              </w:rPr>
            </w:pPr>
          </w:p>
          <w:p w14:paraId="5E2468F1">
            <w:pPr>
              <w:keepNext w:val="0"/>
              <w:keepLines w:val="0"/>
              <w:pageBreakBefore w:val="0"/>
              <w:widowControl/>
              <w:kinsoku/>
              <w:wordWrap/>
              <w:topLinePunct w:val="0"/>
              <w:bidi w:val="0"/>
              <w:snapToGrid/>
              <w:spacing w:before="60" w:after="60"/>
              <w:rPr>
                <w:rFonts w:eastAsia="宋体"/>
                <w:i/>
                <w:iCs/>
                <w:sz w:val="20"/>
                <w:szCs w:val="20"/>
                <w:lang w:val="en-US" w:eastAsia="zh-CN"/>
              </w:rPr>
            </w:pPr>
            <w:r>
              <w:rPr>
                <w:rFonts w:eastAsia="宋体"/>
                <w:i/>
                <w:iCs/>
                <w:sz w:val="20"/>
                <w:szCs w:val="20"/>
                <w:highlight w:val="green"/>
                <w:lang w:val="en-US" w:eastAsia="zh-CN"/>
              </w:rPr>
              <w:t>Agreement</w:t>
            </w:r>
          </w:p>
          <w:p w14:paraId="05EA9DEF">
            <w:pPr>
              <w:keepNext w:val="0"/>
              <w:keepLines w:val="0"/>
              <w:pageBreakBefore w:val="0"/>
              <w:widowControl/>
              <w:kinsoku/>
              <w:wordWrap/>
              <w:topLinePunct w:val="0"/>
              <w:bidi w:val="0"/>
              <w:snapToGrid/>
              <w:spacing w:before="60" w:after="60"/>
              <w:rPr>
                <w:rFonts w:eastAsia="宋体"/>
                <w:i/>
                <w:iCs/>
                <w:sz w:val="20"/>
                <w:szCs w:val="20"/>
                <w:lang w:val="en-US" w:eastAsia="zh-CN"/>
              </w:rPr>
            </w:pPr>
            <w:r>
              <w:rPr>
                <w:rFonts w:hint="eastAsia" w:eastAsia="宋体"/>
                <w:i/>
                <w:iCs/>
                <w:sz w:val="20"/>
                <w:szCs w:val="20"/>
                <w:lang w:val="en-US" w:eastAsia="ko-KR"/>
              </w:rPr>
              <w:t xml:space="preserve">The collision case 4 (Dynamically scheduled DL reception collides with dynamic scheduled UL transmission) </w:t>
            </w:r>
            <w:r>
              <w:rPr>
                <w:rFonts w:hint="eastAsia" w:eastAsia="宋体"/>
                <w:i/>
                <w:iCs/>
                <w:sz w:val="20"/>
                <w:szCs w:val="20"/>
                <w:lang w:val="en-US" w:eastAsia="zh-CN"/>
              </w:rPr>
              <w:t>is not considered</w:t>
            </w:r>
            <w:r>
              <w:rPr>
                <w:rFonts w:hint="eastAsia" w:eastAsia="宋体"/>
                <w:i/>
                <w:iCs/>
                <w:sz w:val="20"/>
                <w:szCs w:val="20"/>
                <w:lang w:val="en-US" w:eastAsia="ko-KR"/>
              </w:rPr>
              <w:t xml:space="preserve"> as</w:t>
            </w:r>
            <w:r>
              <w:rPr>
                <w:rFonts w:hint="eastAsia" w:eastAsia="宋体"/>
                <w:i/>
                <w:iCs/>
                <w:sz w:val="20"/>
                <w:szCs w:val="20"/>
                <w:lang w:val="en-US" w:eastAsia="zh-CN"/>
              </w:rPr>
              <w:t xml:space="preserve"> an</w:t>
            </w:r>
            <w:r>
              <w:rPr>
                <w:rFonts w:hint="eastAsia" w:eastAsia="宋体"/>
                <w:i/>
                <w:iCs/>
                <w:sz w:val="20"/>
                <w:szCs w:val="20"/>
                <w:lang w:val="en-US" w:eastAsia="ko-KR"/>
              </w:rPr>
              <w:t xml:space="preserve"> error case</w:t>
            </w:r>
            <w:r>
              <w:rPr>
                <w:rFonts w:eastAsia="宋体"/>
                <w:i/>
                <w:iCs/>
                <w:sz w:val="20"/>
                <w:szCs w:val="20"/>
                <w:lang w:val="en-US" w:eastAsia="ko-KR"/>
              </w:rPr>
              <w:t xml:space="preserve"> for Rel-19 HD-FDD (e)Redcap UE in RRC connected mode</w:t>
            </w:r>
            <w:r>
              <w:rPr>
                <w:rFonts w:hint="eastAsia" w:eastAsia="宋体"/>
                <w:i/>
                <w:iCs/>
                <w:sz w:val="20"/>
                <w:szCs w:val="20"/>
                <w:lang w:val="en-US" w:eastAsia="ko-KR"/>
              </w:rPr>
              <w:t>.</w:t>
            </w:r>
            <w:r>
              <w:rPr>
                <w:rFonts w:hint="eastAsia" w:eastAsia="宋体"/>
                <w:i/>
                <w:iCs/>
                <w:sz w:val="20"/>
                <w:szCs w:val="20"/>
                <w:lang w:val="en-US" w:eastAsia="zh-CN"/>
              </w:rPr>
              <w:t xml:space="preserve"> </w:t>
            </w:r>
          </w:p>
          <w:p w14:paraId="2292E206">
            <w:pPr>
              <w:keepNext w:val="0"/>
              <w:keepLines w:val="0"/>
              <w:pageBreakBefore w:val="0"/>
              <w:widowControl/>
              <w:numPr>
                <w:ilvl w:val="0"/>
                <w:numId w:val="9"/>
              </w:numPr>
              <w:tabs>
                <w:tab w:val="left" w:pos="420"/>
              </w:tabs>
              <w:kinsoku/>
              <w:wordWrap/>
              <w:topLinePunct w:val="0"/>
              <w:bidi w:val="0"/>
              <w:snapToGrid/>
              <w:spacing w:before="60" w:after="60"/>
              <w:rPr>
                <w:rFonts w:hint="eastAsia" w:eastAsia="宋体"/>
                <w:sz w:val="20"/>
                <w:szCs w:val="15"/>
                <w:lang w:val="en-US" w:eastAsia="zh-CN"/>
              </w:rPr>
            </w:pPr>
            <w:r>
              <w:rPr>
                <w:rFonts w:eastAsia="宋体"/>
                <w:bCs/>
                <w:i/>
                <w:iCs/>
                <w:sz w:val="20"/>
                <w:szCs w:val="15"/>
                <w:lang w:val="en-US" w:eastAsia="zh-CN"/>
              </w:rPr>
              <w:t xml:space="preserve">FFS whether to prioritize UL or prioritize DL  </w:t>
            </w:r>
          </w:p>
        </w:tc>
      </w:tr>
    </w:tbl>
    <w:p w14:paraId="25CA749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val="0"/>
          <w:iCs w:val="0"/>
          <w:kern w:val="2"/>
          <w:sz w:val="20"/>
          <w:szCs w:val="20"/>
          <w:lang w:val="en-US" w:eastAsia="zh-CN"/>
        </w:rPr>
      </w:pPr>
      <w:r>
        <w:rPr>
          <w:rFonts w:hint="eastAsia"/>
          <w:i w:val="0"/>
          <w:iCs w:val="0"/>
          <w:kern w:val="2"/>
          <w:sz w:val="20"/>
          <w:szCs w:val="20"/>
          <w:lang w:val="en-US" w:eastAsia="zh-CN"/>
        </w:rPr>
        <w:t>Firstly, we think the same principle for HD-FDD (e)RedCap UE in TN network will be followed as baseline.</w:t>
      </w:r>
    </w:p>
    <w:p w14:paraId="72BEF16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bookmarkStart w:id="30" w:name="OLE_LINK18"/>
      <w:r>
        <w:rPr>
          <w:rFonts w:hint="eastAsia"/>
          <w:b/>
          <w:bCs/>
          <w:i/>
          <w:iCs/>
          <w:sz w:val="20"/>
          <w:szCs w:val="20"/>
          <w:lang w:val="en-US" w:eastAsia="zh-CN"/>
        </w:rPr>
        <w:t>Proposal 11: Same principle for HD-FDD (e)RedCap UE in TN network will be followed as baseline.</w:t>
      </w:r>
    </w:p>
    <w:bookmarkEnd w:id="30"/>
    <w:p w14:paraId="44BE74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i w:val="0"/>
          <w:iCs w:val="0"/>
          <w:kern w:val="2"/>
          <w:sz w:val="20"/>
          <w:szCs w:val="20"/>
          <w:lang w:val="en-US" w:eastAsia="zh-CN"/>
        </w:rPr>
      </w:pPr>
      <w:r>
        <w:rPr>
          <w:rFonts w:hint="eastAsia"/>
          <w:i w:val="0"/>
          <w:iCs w:val="0"/>
          <w:kern w:val="2"/>
          <w:sz w:val="20"/>
          <w:szCs w:val="20"/>
          <w:lang w:val="en-US" w:eastAsia="zh-CN"/>
        </w:rPr>
        <w:t xml:space="preserve">Besides, for HD-FDD Redcap UE, due to UL transmission may override DL transmission by network indication or UE implementation, it is rational to clarify that the measurement requirements apply provided that no RS is </w:t>
      </w:r>
      <w:bookmarkStart w:id="31" w:name="OLE_LINK17"/>
      <w:r>
        <w:rPr>
          <w:rFonts w:hint="eastAsia"/>
          <w:i w:val="0"/>
          <w:iCs w:val="0"/>
          <w:kern w:val="2"/>
          <w:sz w:val="20"/>
          <w:szCs w:val="20"/>
          <w:lang w:val="en-US" w:eastAsia="zh-CN"/>
        </w:rPr>
        <w:t>overrode</w:t>
      </w:r>
      <w:bookmarkEnd w:id="31"/>
      <w:r>
        <w:rPr>
          <w:rFonts w:hint="eastAsia"/>
          <w:i w:val="0"/>
          <w:iCs w:val="0"/>
          <w:kern w:val="2"/>
          <w:sz w:val="20"/>
          <w:szCs w:val="20"/>
          <w:lang w:val="en-US" w:eastAsia="zh-CN"/>
        </w:rPr>
        <w:t xml:space="preserve"> by UL transmission during the measurement period. Otherwise, longer delays can be expected.</w:t>
      </w:r>
    </w:p>
    <w:p w14:paraId="72F848B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bookmarkStart w:id="32" w:name="OLE_LINK23"/>
      <w:r>
        <w:rPr>
          <w:rFonts w:hint="eastAsia"/>
          <w:b/>
          <w:bCs/>
          <w:i/>
          <w:iCs/>
          <w:sz w:val="20"/>
          <w:szCs w:val="20"/>
          <w:lang w:val="en-US" w:eastAsia="zh-CN"/>
        </w:rPr>
        <w:t>Proposal 12: Clarify that the measurement requirements apply provided that no RS is overrode by UL transmission during the measurement period. Otherwise, longer delays can be expected.</w:t>
      </w:r>
    </w:p>
    <w:bookmarkEnd w:id="32"/>
    <w:p w14:paraId="13656B1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Then we go through the scheduling availability which may impacted by collision cases.</w:t>
      </w:r>
    </w:p>
    <w:p w14:paraId="75A18F5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val="0"/>
          <w:bCs w:val="0"/>
          <w:i w:val="0"/>
          <w:iCs w:val="0"/>
          <w:kern w:val="2"/>
          <w:sz w:val="20"/>
          <w:szCs w:val="20"/>
          <w:lang w:val="en-US" w:eastAsia="zh-CN"/>
        </w:rPr>
      </w:pPr>
      <w:r>
        <w:rPr>
          <w:rFonts w:hint="eastAsia"/>
          <w:b w:val="0"/>
          <w:bCs w:val="0"/>
          <w:i w:val="0"/>
          <w:iCs w:val="0"/>
          <w:sz w:val="20"/>
          <w:szCs w:val="20"/>
          <w:lang w:val="en-US" w:eastAsia="zh-CN"/>
        </w:rPr>
        <w:t xml:space="preserve">For </w:t>
      </w:r>
      <w:bookmarkStart w:id="33" w:name="OLE_LINK24"/>
      <w:r>
        <w:rPr>
          <w:rFonts w:hint="eastAsia"/>
          <w:b w:val="0"/>
          <w:bCs w:val="0"/>
          <w:i w:val="0"/>
          <w:iCs w:val="0"/>
          <w:sz w:val="20"/>
          <w:szCs w:val="20"/>
          <w:lang w:val="en-US" w:eastAsia="zh-CN"/>
        </w:rPr>
        <w:t>s</w:t>
      </w:r>
      <w:r>
        <w:rPr>
          <w:b w:val="0"/>
          <w:bCs w:val="0"/>
          <w:i w:val="0"/>
          <w:iCs w:val="0"/>
          <w:sz w:val="20"/>
          <w:szCs w:val="20"/>
        </w:rPr>
        <w:t>cheduling availability</w:t>
      </w:r>
      <w:r>
        <w:rPr>
          <w:rFonts w:hint="eastAsia"/>
          <w:b w:val="0"/>
          <w:bCs w:val="0"/>
          <w:i w:val="0"/>
          <w:iCs w:val="0"/>
          <w:sz w:val="20"/>
          <w:szCs w:val="20"/>
        </w:rPr>
        <w:t xml:space="preserve"> </w:t>
      </w:r>
      <w:r>
        <w:rPr>
          <w:b w:val="0"/>
          <w:bCs w:val="0"/>
          <w:i w:val="0"/>
          <w:iCs w:val="0"/>
          <w:sz w:val="20"/>
          <w:szCs w:val="20"/>
        </w:rPr>
        <w:t xml:space="preserve">of UE performing </w:t>
      </w:r>
      <w:r>
        <w:rPr>
          <w:rFonts w:hint="eastAsia"/>
          <w:b w:val="0"/>
          <w:bCs w:val="0"/>
          <w:i w:val="0"/>
          <w:iCs w:val="0"/>
          <w:sz w:val="20"/>
          <w:szCs w:val="20"/>
        </w:rPr>
        <w:t xml:space="preserve">intra/inter </w:t>
      </w:r>
      <w:r>
        <w:rPr>
          <w:b w:val="0"/>
          <w:bCs w:val="0"/>
          <w:i w:val="0"/>
          <w:iCs w:val="0"/>
          <w:sz w:val="20"/>
          <w:szCs w:val="20"/>
        </w:rPr>
        <w:t>measurements</w:t>
      </w:r>
      <w:bookmarkEnd w:id="33"/>
      <w:r>
        <w:rPr>
          <w:rFonts w:hint="eastAsia"/>
          <w:b w:val="0"/>
          <w:bCs w:val="0"/>
          <w:i w:val="0"/>
          <w:iCs w:val="0"/>
          <w:sz w:val="20"/>
          <w:szCs w:val="20"/>
          <w:lang w:val="en-US" w:eastAsia="zh-CN"/>
        </w:rPr>
        <w:t xml:space="preserve">, the main rule is that </w:t>
      </w:r>
      <w:bookmarkStart w:id="34" w:name="OLE_LINK26"/>
      <w:r>
        <w:rPr>
          <w:rFonts w:hint="eastAsia"/>
          <w:b w:val="0"/>
          <w:bCs w:val="0"/>
          <w:i w:val="0"/>
          <w:iCs w:val="0"/>
          <w:kern w:val="2"/>
          <w:sz w:val="20"/>
          <w:szCs w:val="20"/>
          <w:lang w:val="en-US" w:eastAsia="zh-CN"/>
        </w:rPr>
        <w:t xml:space="preserve">UE is not expected to transmit PUCCH/PUSCH/SRS on SSB symbols/SMTCs </w:t>
      </w:r>
      <w:r>
        <w:rPr>
          <w:rFonts w:hint="eastAsia"/>
          <w:b w:val="0"/>
          <w:bCs w:val="0"/>
          <w:i w:val="0"/>
          <w:iCs w:val="0"/>
          <w:kern w:val="2"/>
          <w:sz w:val="20"/>
          <w:szCs w:val="20"/>
          <w:u w:val="single"/>
          <w:lang w:val="en-US" w:eastAsia="zh-CN"/>
        </w:rPr>
        <w:t>to be measured</w:t>
      </w:r>
      <w:bookmarkEnd w:id="34"/>
      <w:r>
        <w:rPr>
          <w:rFonts w:hint="eastAsia"/>
          <w:b w:val="0"/>
          <w:bCs w:val="0"/>
          <w:i w:val="0"/>
          <w:iCs w:val="0"/>
          <w:kern w:val="2"/>
          <w:sz w:val="20"/>
          <w:szCs w:val="20"/>
          <w:lang w:val="en-US" w:eastAsia="zh-CN"/>
        </w:rPr>
        <w:t xml:space="preserve">. This </w:t>
      </w:r>
      <w:r>
        <w:rPr>
          <w:rFonts w:hint="default"/>
          <w:b w:val="0"/>
          <w:bCs w:val="0"/>
          <w:i w:val="0"/>
          <w:iCs w:val="0"/>
          <w:kern w:val="2"/>
          <w:sz w:val="20"/>
          <w:szCs w:val="20"/>
          <w:lang w:val="en-US" w:eastAsia="zh-CN"/>
        </w:rPr>
        <w:t>‘</w:t>
      </w:r>
      <w:r>
        <w:rPr>
          <w:rFonts w:hint="eastAsia"/>
          <w:b w:val="0"/>
          <w:bCs w:val="0"/>
          <w:i w:val="0"/>
          <w:iCs w:val="0"/>
          <w:kern w:val="2"/>
          <w:sz w:val="20"/>
          <w:szCs w:val="20"/>
          <w:lang w:val="en-US" w:eastAsia="zh-CN"/>
        </w:rPr>
        <w:t>to be measured</w:t>
      </w:r>
      <w:r>
        <w:rPr>
          <w:rFonts w:hint="default"/>
          <w:b w:val="0"/>
          <w:bCs w:val="0"/>
          <w:i w:val="0"/>
          <w:iCs w:val="0"/>
          <w:kern w:val="2"/>
          <w:sz w:val="20"/>
          <w:szCs w:val="20"/>
          <w:lang w:val="en-US" w:eastAsia="zh-CN"/>
        </w:rPr>
        <w:t>’</w:t>
      </w:r>
      <w:r>
        <w:rPr>
          <w:rFonts w:hint="eastAsia"/>
          <w:b w:val="0"/>
          <w:bCs w:val="0"/>
          <w:i w:val="0"/>
          <w:iCs w:val="0"/>
          <w:kern w:val="2"/>
          <w:sz w:val="20"/>
          <w:szCs w:val="20"/>
          <w:lang w:val="en-US" w:eastAsia="zh-CN"/>
        </w:rPr>
        <w:t xml:space="preserve"> restriction has already excluded the SSB symbols/SMTCs  which overrode by UL transmission. Therefore, </w:t>
      </w:r>
      <w:bookmarkStart w:id="35" w:name="OLE_LINK25"/>
      <w:r>
        <w:rPr>
          <w:rFonts w:hint="eastAsia"/>
          <w:b w:val="0"/>
          <w:bCs w:val="0"/>
          <w:i w:val="0"/>
          <w:iCs w:val="0"/>
          <w:kern w:val="2"/>
          <w:sz w:val="20"/>
          <w:szCs w:val="20"/>
          <w:lang w:val="en-US" w:eastAsia="zh-CN"/>
        </w:rPr>
        <w:t>the existing principle of scheduling availability requirement can be reused</w:t>
      </w:r>
      <w:bookmarkEnd w:id="35"/>
      <w:r>
        <w:rPr>
          <w:rFonts w:hint="eastAsia"/>
          <w:b w:val="0"/>
          <w:bCs w:val="0"/>
          <w:i w:val="0"/>
          <w:iCs w:val="0"/>
          <w:kern w:val="2"/>
          <w:sz w:val="20"/>
          <w:szCs w:val="20"/>
          <w:lang w:val="en-US" w:eastAsia="zh-CN"/>
        </w:rPr>
        <w:t>.</w:t>
      </w:r>
    </w:p>
    <w:p w14:paraId="42C4E4C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Theme="minorEastAsia"/>
          <w:b w:val="0"/>
          <w:bCs w:val="0"/>
          <w:i w:val="0"/>
          <w:iCs w:val="0"/>
          <w:kern w:val="2"/>
          <w:sz w:val="20"/>
          <w:szCs w:val="20"/>
          <w:lang w:val="en-US" w:eastAsia="zh-CN"/>
        </w:rPr>
      </w:pPr>
      <w:r>
        <w:rPr>
          <w:rFonts w:hint="eastAsia"/>
          <w:b w:val="0"/>
          <w:bCs w:val="0"/>
          <w:i w:val="0"/>
          <w:iCs w:val="0"/>
          <w:kern w:val="2"/>
          <w:sz w:val="20"/>
          <w:szCs w:val="20"/>
          <w:lang w:val="en-US" w:eastAsia="zh-CN"/>
        </w:rPr>
        <w:t xml:space="preserve">For </w:t>
      </w:r>
      <w:r>
        <w:rPr>
          <w:rFonts w:hint="eastAsia"/>
          <w:b w:val="0"/>
          <w:bCs w:val="0"/>
          <w:i w:val="0"/>
          <w:iCs w:val="0"/>
          <w:sz w:val="20"/>
          <w:szCs w:val="20"/>
          <w:lang w:val="en-US" w:eastAsia="zh-CN"/>
        </w:rPr>
        <w:t>s</w:t>
      </w:r>
      <w:r>
        <w:rPr>
          <w:b w:val="0"/>
          <w:bCs w:val="0"/>
          <w:i w:val="0"/>
          <w:iCs w:val="0"/>
          <w:sz w:val="20"/>
          <w:szCs w:val="20"/>
        </w:rPr>
        <w:t>cheduling availability of UE during L1-RSRP measurement</w:t>
      </w:r>
      <w:r>
        <w:rPr>
          <w:rFonts w:hint="eastAsia"/>
          <w:b w:val="0"/>
          <w:bCs w:val="0"/>
          <w:i w:val="0"/>
          <w:iCs w:val="0"/>
          <w:sz w:val="20"/>
          <w:szCs w:val="20"/>
          <w:lang w:val="en-US" w:eastAsia="zh-CN"/>
        </w:rPr>
        <w:t xml:space="preserve">, the main rule is that </w:t>
      </w:r>
      <w:bookmarkStart w:id="36" w:name="OLE_LINK22"/>
      <w:r>
        <w:rPr>
          <w:rFonts w:hint="eastAsia"/>
          <w:b w:val="0"/>
          <w:bCs w:val="0"/>
          <w:i w:val="0"/>
          <w:iCs w:val="0"/>
          <w:sz w:val="20"/>
          <w:szCs w:val="20"/>
          <w:lang w:val="en-US" w:eastAsia="zh-CN"/>
        </w:rPr>
        <w:t>scheduling restrictions apply for transmission on PUCCH/PUSCH/SRS during the CBD evaluation period, as CBD evaluation is prioritized over UL transmission.</w:t>
      </w:r>
      <w:bookmarkEnd w:id="36"/>
      <w:r>
        <w:rPr>
          <w:rFonts w:hint="eastAsia"/>
          <w:b w:val="0"/>
          <w:bCs w:val="0"/>
          <w:i w:val="0"/>
          <w:iCs w:val="0"/>
          <w:sz w:val="20"/>
          <w:szCs w:val="20"/>
          <w:lang w:val="en-US" w:eastAsia="zh-CN"/>
        </w:rPr>
        <w:t xml:space="preserve"> However, with RAN1</w:t>
      </w:r>
      <w:r>
        <w:rPr>
          <w:rFonts w:hint="default"/>
          <w:b w:val="0"/>
          <w:bCs w:val="0"/>
          <w:i w:val="0"/>
          <w:iCs w:val="0"/>
          <w:sz w:val="20"/>
          <w:szCs w:val="20"/>
          <w:lang w:val="en-US" w:eastAsia="zh-CN"/>
        </w:rPr>
        <w:t>’</w:t>
      </w:r>
      <w:r>
        <w:rPr>
          <w:rFonts w:hint="eastAsia"/>
          <w:b w:val="0"/>
          <w:bCs w:val="0"/>
          <w:i w:val="0"/>
          <w:iCs w:val="0"/>
          <w:sz w:val="20"/>
          <w:szCs w:val="20"/>
          <w:lang w:val="en-US" w:eastAsia="zh-CN"/>
        </w:rPr>
        <w:t xml:space="preserve">s design, the CBD evaluation may not always prioritized over UL transmission. Therefore, we propose to update the side condition as: </w:t>
      </w:r>
      <w:bookmarkStart w:id="37" w:name="OLE_LINK27"/>
      <w:r>
        <w:rPr>
          <w:rFonts w:hint="eastAsia"/>
          <w:b w:val="0"/>
          <w:bCs w:val="0"/>
          <w:i w:val="0"/>
          <w:iCs w:val="0"/>
          <w:sz w:val="20"/>
          <w:szCs w:val="20"/>
          <w:lang w:val="en-US" w:eastAsia="zh-CN"/>
        </w:rPr>
        <w:t>scheduling restrictions apply for transmission on PUCCH/PUSCH/SRS during the CBD evaluation period, when CBD evaluation is prioritized over UL transmission.</w:t>
      </w:r>
      <w:bookmarkEnd w:id="37"/>
    </w:p>
    <w:p w14:paraId="534202E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bCs/>
          <w:i/>
          <w:iCs/>
          <w:kern w:val="2"/>
          <w:sz w:val="20"/>
          <w:szCs w:val="20"/>
          <w:u w:val="single"/>
          <w:lang w:val="en-US" w:eastAsia="zh-CN"/>
        </w:rPr>
      </w:pPr>
      <w:bookmarkStart w:id="38" w:name="OLE_LINK32"/>
      <w:r>
        <w:rPr>
          <w:rFonts w:hint="eastAsia"/>
          <w:b/>
          <w:bCs/>
          <w:i/>
          <w:iCs/>
          <w:sz w:val="20"/>
          <w:szCs w:val="20"/>
          <w:lang w:val="en-US" w:eastAsia="zh-CN"/>
        </w:rPr>
        <w:t xml:space="preserve">Proposal 13: For scheduling availability of UE performing intra/inter measurements, the existing principle can be reused, that </w:t>
      </w:r>
      <w:r>
        <w:rPr>
          <w:rFonts w:hint="eastAsia"/>
          <w:b/>
          <w:bCs/>
          <w:i/>
          <w:iCs/>
          <w:kern w:val="2"/>
          <w:sz w:val="20"/>
          <w:szCs w:val="20"/>
          <w:lang w:val="en-US" w:eastAsia="zh-CN"/>
        </w:rPr>
        <w:t xml:space="preserve">UE is not expected to transmit PUCCH/PUSCH/SRS on SSB symbols/SMTCs </w:t>
      </w:r>
      <w:r>
        <w:rPr>
          <w:rFonts w:hint="eastAsia"/>
          <w:b/>
          <w:bCs/>
          <w:i/>
          <w:iCs/>
          <w:kern w:val="2"/>
          <w:sz w:val="20"/>
          <w:szCs w:val="20"/>
          <w:u w:val="single"/>
          <w:lang w:val="en-US" w:eastAsia="zh-CN"/>
        </w:rPr>
        <w:t>to be measured.</w:t>
      </w:r>
    </w:p>
    <w:p w14:paraId="4A2B318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Theme="minorEastAsia"/>
          <w:b/>
          <w:bCs/>
          <w:i/>
          <w:iCs/>
          <w:sz w:val="20"/>
          <w:szCs w:val="20"/>
          <w:lang w:val="en-US" w:eastAsia="zh-CN"/>
        </w:rPr>
      </w:pPr>
      <w:r>
        <w:rPr>
          <w:rFonts w:hint="eastAsia"/>
          <w:b/>
          <w:bCs/>
          <w:i/>
          <w:iCs/>
          <w:sz w:val="20"/>
          <w:szCs w:val="20"/>
          <w:lang w:val="en-US" w:eastAsia="zh-CN"/>
        </w:rPr>
        <w:t xml:space="preserve">Proposal 14: </w:t>
      </w:r>
      <w:r>
        <w:rPr>
          <w:rFonts w:hint="eastAsia"/>
          <w:b/>
          <w:bCs/>
          <w:i/>
          <w:iCs/>
          <w:kern w:val="2"/>
          <w:sz w:val="20"/>
          <w:szCs w:val="20"/>
          <w:lang w:val="en-US" w:eastAsia="zh-CN"/>
        </w:rPr>
        <w:t xml:space="preserve">For </w:t>
      </w:r>
      <w:r>
        <w:rPr>
          <w:rFonts w:hint="eastAsia"/>
          <w:b/>
          <w:bCs/>
          <w:i/>
          <w:iCs/>
          <w:sz w:val="20"/>
          <w:szCs w:val="20"/>
          <w:lang w:val="en-US" w:eastAsia="zh-CN"/>
        </w:rPr>
        <w:t>s</w:t>
      </w:r>
      <w:r>
        <w:rPr>
          <w:b/>
          <w:bCs/>
          <w:i/>
          <w:iCs/>
          <w:sz w:val="20"/>
          <w:szCs w:val="20"/>
        </w:rPr>
        <w:t>cheduling availability of UE during L1-RSRP measurement</w:t>
      </w:r>
      <w:r>
        <w:rPr>
          <w:rFonts w:hint="eastAsia"/>
          <w:b/>
          <w:bCs/>
          <w:i/>
          <w:iCs/>
          <w:sz w:val="20"/>
          <w:szCs w:val="20"/>
          <w:lang w:val="en-US" w:eastAsia="zh-CN"/>
        </w:rPr>
        <w:t xml:space="preserve">, update the principle as scheduling restrictions apply for transmission on PUCCH/PUSCH/SRS during the CBD evaluation period, </w:t>
      </w:r>
      <w:r>
        <w:rPr>
          <w:rFonts w:hint="eastAsia"/>
          <w:b/>
          <w:bCs/>
          <w:i/>
          <w:iCs/>
          <w:sz w:val="20"/>
          <w:szCs w:val="20"/>
          <w:u w:val="single"/>
          <w:lang w:val="en-US" w:eastAsia="zh-CN"/>
        </w:rPr>
        <w:t>when CBD evaluation is prioritized over UL transmission</w:t>
      </w:r>
      <w:r>
        <w:rPr>
          <w:rFonts w:hint="eastAsia"/>
          <w:b/>
          <w:bCs/>
          <w:i/>
          <w:iCs/>
          <w:sz w:val="20"/>
          <w:szCs w:val="20"/>
          <w:lang w:val="en-US" w:eastAsia="zh-CN"/>
        </w:rPr>
        <w:t>.</w:t>
      </w:r>
    </w:p>
    <w:bookmarkEnd w:id="38"/>
    <w:p w14:paraId="2FD9382D">
      <w:pPr>
        <w:rPr>
          <w:rFonts w:hint="default"/>
          <w:lang w:val="en-US" w:eastAsia="zh-CN"/>
        </w:rPr>
      </w:pPr>
    </w:p>
    <w:p w14:paraId="5C0820A9">
      <w:pPr>
        <w:pStyle w:val="3"/>
        <w:numPr>
          <w:ilvl w:val="1"/>
          <w:numId w:val="5"/>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The specific impact of HD-FDD on NR Handover</w:t>
      </w:r>
    </w:p>
    <w:p w14:paraId="5836A7B9">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3-2-1: The impact on NR Handover due to HD-FDD</w:t>
      </w:r>
    </w:p>
    <w:p w14:paraId="5A57E74C">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none"/>
          <w:lang w:val="en-US" w:eastAsia="zh-CN"/>
        </w:rPr>
      </w:pPr>
      <w:r>
        <w:rPr>
          <w:rFonts w:hint="eastAsia"/>
          <w:b/>
          <w:i/>
          <w:iCs/>
          <w:sz w:val="20"/>
          <w:szCs w:val="20"/>
          <w:highlight w:val="none"/>
          <w:u w:val="none"/>
          <w:lang w:val="en-US" w:eastAsia="ko-KR"/>
        </w:rPr>
        <w:t>&lt;Way Forward&gt;</w:t>
      </w:r>
      <w:r>
        <w:rPr>
          <w:rFonts w:hint="eastAsia"/>
          <w:b/>
          <w:i/>
          <w:iCs/>
          <w:sz w:val="20"/>
          <w:szCs w:val="20"/>
          <w:highlight w:val="none"/>
          <w:u w:val="none"/>
          <w:lang w:val="en-US" w:eastAsia="zh-CN"/>
        </w:rPr>
        <w:t>:</w:t>
      </w:r>
    </w:p>
    <w:p w14:paraId="48C7126D">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bCs/>
          <w:i/>
          <w:iCs/>
          <w:sz w:val="20"/>
          <w:szCs w:val="20"/>
        </w:rPr>
      </w:pPr>
      <w:r>
        <w:rPr>
          <w:i/>
          <w:iCs/>
          <w:sz w:val="20"/>
          <w:szCs w:val="20"/>
        </w:rPr>
        <w:t xml:space="preserve">Proposal 1: </w:t>
      </w:r>
    </w:p>
    <w:p w14:paraId="1E00F107">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eastAsiaTheme="minorEastAsia"/>
          <w:i/>
          <w:iCs/>
          <w:sz w:val="20"/>
          <w:szCs w:val="20"/>
        </w:rPr>
      </w:pPr>
      <w:r>
        <w:rPr>
          <w:rFonts w:eastAsiaTheme="minorEastAsia"/>
          <w:i/>
          <w:iCs/>
          <w:sz w:val="20"/>
          <w:szCs w:val="20"/>
        </w:rPr>
        <w:t>For RACH-based HO, RACH-less HO, Time/location-based CHO without L3 measurement and Satellite switching with re-synchronization, following applicability rules to adapt HD-FDD case should be added:</w:t>
      </w:r>
    </w:p>
    <w:p w14:paraId="5294EE25">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rFonts w:eastAsiaTheme="minorEastAsia"/>
          <w:i/>
          <w:iCs/>
          <w:sz w:val="20"/>
          <w:szCs w:val="20"/>
        </w:rPr>
      </w:pPr>
      <w:r>
        <w:rPr>
          <w:rFonts w:eastAsiaTheme="minorEastAsia"/>
          <w:i/>
          <w:iCs/>
          <w:sz w:val="20"/>
          <w:szCs w:val="20"/>
        </w:rPr>
        <w:t xml:space="preserve">For RedCap NTN UE with HD-FDD, the requirements are met provided that </w:t>
      </w:r>
    </w:p>
    <w:p w14:paraId="737CA5C1">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bCs/>
          <w:i/>
          <w:iCs/>
          <w:sz w:val="20"/>
          <w:szCs w:val="20"/>
        </w:rPr>
      </w:pPr>
      <w:r>
        <w:rPr>
          <w:bCs/>
          <w:i/>
          <w:iCs/>
          <w:sz w:val="20"/>
          <w:szCs w:val="20"/>
        </w:rPr>
        <w:t>SSB is available at the UE once every SMTC period during T</w:t>
      </w:r>
      <w:r>
        <w:rPr>
          <w:bCs/>
          <w:i/>
          <w:iCs/>
          <w:sz w:val="20"/>
          <w:szCs w:val="20"/>
          <w:vertAlign w:val="subscript"/>
        </w:rPr>
        <w:t>search</w:t>
      </w:r>
    </w:p>
    <w:p w14:paraId="76E1A8BD">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bCs/>
          <w:i/>
          <w:iCs/>
          <w:sz w:val="20"/>
          <w:szCs w:val="20"/>
        </w:rPr>
      </w:pPr>
      <w:r>
        <w:rPr>
          <w:bCs/>
          <w:i/>
          <w:iCs/>
          <w:sz w:val="20"/>
          <w:szCs w:val="20"/>
        </w:rPr>
        <w:t>One SSB is available during T</w:t>
      </w:r>
      <w:r>
        <w:rPr>
          <w:bCs/>
          <w:i/>
          <w:iCs/>
          <w:sz w:val="20"/>
          <w:szCs w:val="20"/>
          <w:vertAlign w:val="subscript"/>
        </w:rPr>
        <w:t>∆</w:t>
      </w:r>
    </w:p>
    <w:p w14:paraId="4323A528">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bCs/>
          <w:i/>
          <w:iCs/>
          <w:sz w:val="20"/>
          <w:szCs w:val="20"/>
        </w:rPr>
      </w:pPr>
      <w:r>
        <w:rPr>
          <w:bCs/>
          <w:i/>
          <w:iCs/>
          <w:sz w:val="20"/>
          <w:szCs w:val="20"/>
        </w:rPr>
        <w:t>One SSB is available during T</w:t>
      </w:r>
      <w:r>
        <w:rPr>
          <w:bCs/>
          <w:i/>
          <w:iCs/>
          <w:sz w:val="20"/>
          <w:szCs w:val="20"/>
          <w:vertAlign w:val="subscript"/>
        </w:rPr>
        <w:t>IU</w:t>
      </w:r>
      <w:r>
        <w:rPr>
          <w:bCs/>
          <w:i/>
          <w:iCs/>
          <w:sz w:val="20"/>
          <w:szCs w:val="20"/>
        </w:rPr>
        <w:t>.</w:t>
      </w:r>
    </w:p>
    <w:p w14:paraId="038A072D">
      <w:pPr>
        <w:keepNext w:val="0"/>
        <w:keepLines w:val="0"/>
        <w:pageBreakBefore w:val="0"/>
        <w:widowControl/>
        <w:numPr>
          <w:ilvl w:val="1"/>
          <w:numId w:val="6"/>
        </w:numPr>
        <w:kinsoku/>
        <w:wordWrap/>
        <w:overflowPunct/>
        <w:topLinePunct w:val="0"/>
        <w:autoSpaceDE/>
        <w:autoSpaceDN/>
        <w:bidi w:val="0"/>
        <w:adjustRightInd/>
        <w:snapToGrid/>
        <w:spacing w:before="60" w:after="60"/>
        <w:ind w:left="1140" w:leftChars="0"/>
        <w:contextualSpacing w:val="0"/>
        <w:textAlignment w:val="auto"/>
        <w:rPr>
          <w:rFonts w:eastAsiaTheme="minorEastAsia"/>
          <w:i/>
          <w:iCs/>
          <w:sz w:val="20"/>
          <w:szCs w:val="20"/>
        </w:rPr>
      </w:pPr>
      <w:r>
        <w:rPr>
          <w:rFonts w:eastAsiaTheme="minorEastAsia"/>
          <w:i/>
          <w:iCs/>
          <w:sz w:val="20"/>
          <w:szCs w:val="20"/>
        </w:rPr>
        <w:t>For Time/location-based CHO with L3 measurement, following applicability rules to adapt HD-FDD case should be added:</w:t>
      </w:r>
    </w:p>
    <w:p w14:paraId="2E7C49F9">
      <w:pPr>
        <w:keepNext w:val="0"/>
        <w:keepLines w:val="0"/>
        <w:pageBreakBefore w:val="0"/>
        <w:widowControl/>
        <w:numPr>
          <w:ilvl w:val="2"/>
          <w:numId w:val="6"/>
        </w:numPr>
        <w:kinsoku/>
        <w:wordWrap/>
        <w:overflowPunct/>
        <w:topLinePunct w:val="0"/>
        <w:autoSpaceDE/>
        <w:autoSpaceDN/>
        <w:bidi w:val="0"/>
        <w:adjustRightInd/>
        <w:snapToGrid/>
        <w:spacing w:before="60" w:after="60"/>
        <w:ind w:left="1560" w:leftChars="0"/>
        <w:contextualSpacing w:val="0"/>
        <w:textAlignment w:val="auto"/>
        <w:rPr>
          <w:bCs/>
          <w:i/>
          <w:iCs/>
          <w:sz w:val="20"/>
          <w:szCs w:val="20"/>
        </w:rPr>
      </w:pPr>
      <w:r>
        <w:rPr>
          <w:bCs/>
          <w:i/>
          <w:iCs/>
          <w:sz w:val="20"/>
          <w:szCs w:val="20"/>
        </w:rPr>
        <w:t xml:space="preserve">For RedCap NTN UE with HD-FDD, the requirements are met provided that </w:t>
      </w:r>
    </w:p>
    <w:p w14:paraId="067891C4">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bCs/>
          <w:i/>
          <w:iCs/>
          <w:sz w:val="20"/>
          <w:szCs w:val="20"/>
        </w:rPr>
      </w:pPr>
      <w:r>
        <w:rPr>
          <w:bCs/>
          <w:i/>
          <w:iCs/>
          <w:sz w:val="20"/>
          <w:szCs w:val="20"/>
        </w:rPr>
        <w:t>One SSB is available during T</w:t>
      </w:r>
      <w:r>
        <w:rPr>
          <w:bCs/>
          <w:i/>
          <w:iCs/>
          <w:sz w:val="20"/>
          <w:szCs w:val="20"/>
          <w:vertAlign w:val="subscript"/>
        </w:rPr>
        <w:t>∆</w:t>
      </w:r>
    </w:p>
    <w:p w14:paraId="77C9EC3D">
      <w:pPr>
        <w:keepNext w:val="0"/>
        <w:keepLines w:val="0"/>
        <w:pageBreakBefore w:val="0"/>
        <w:widowControl/>
        <w:numPr>
          <w:ilvl w:val="3"/>
          <w:numId w:val="6"/>
        </w:numPr>
        <w:kinsoku/>
        <w:wordWrap/>
        <w:overflowPunct/>
        <w:topLinePunct w:val="0"/>
        <w:autoSpaceDE/>
        <w:autoSpaceDN/>
        <w:bidi w:val="0"/>
        <w:adjustRightInd/>
        <w:snapToGrid/>
        <w:spacing w:before="60" w:after="60"/>
        <w:ind w:left="1980" w:leftChars="0"/>
        <w:contextualSpacing w:val="0"/>
        <w:textAlignment w:val="auto"/>
        <w:rPr>
          <w:rFonts w:eastAsiaTheme="minorEastAsia"/>
          <w:i/>
          <w:iCs/>
          <w:sz w:val="20"/>
          <w:szCs w:val="20"/>
          <w:lang w:val="en-GB"/>
        </w:rPr>
      </w:pPr>
      <w:r>
        <w:rPr>
          <w:bCs/>
          <w:i/>
          <w:iCs/>
          <w:sz w:val="20"/>
          <w:szCs w:val="20"/>
        </w:rPr>
        <w:t>One SSB is available during T</w:t>
      </w:r>
      <w:r>
        <w:rPr>
          <w:bCs/>
          <w:i/>
          <w:iCs/>
          <w:sz w:val="20"/>
          <w:szCs w:val="20"/>
          <w:vertAlign w:val="subscript"/>
        </w:rPr>
        <w:t>IU</w:t>
      </w:r>
    </w:p>
    <w:p w14:paraId="06CA2BA3">
      <w:pPr>
        <w:keepNext w:val="0"/>
        <w:keepLines w:val="0"/>
        <w:pageBreakBefore w:val="0"/>
        <w:widowControl/>
        <w:numPr>
          <w:ilvl w:val="0"/>
          <w:numId w:val="0"/>
        </w:numPr>
        <w:kinsoku/>
        <w:wordWrap/>
        <w:overflowPunct/>
        <w:topLinePunct w:val="0"/>
        <w:autoSpaceDE/>
        <w:autoSpaceDN/>
        <w:bidi w:val="0"/>
        <w:adjustRightInd/>
        <w:spacing w:before="60" w:after="60"/>
        <w:contextualSpacing/>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For RACH-based HO, RACH-less HO, Time/location-based CHO without L3 measurement and Satellite switching with re-synchronization, following applicability rules to adapt HD-FDD case should be added:</w:t>
      </w:r>
    </w:p>
    <w:p w14:paraId="7C0890DB">
      <w:pPr>
        <w:keepNext w:val="0"/>
        <w:keepLines w:val="0"/>
        <w:pageBreakBefore w:val="0"/>
        <w:widowControl/>
        <w:numPr>
          <w:ilvl w:val="3"/>
          <w:numId w:val="0"/>
        </w:numPr>
        <w:kinsoku/>
        <w:wordWrap/>
        <w:overflowPunct/>
        <w:topLinePunct w:val="0"/>
        <w:autoSpaceDE/>
        <w:autoSpaceDN/>
        <w:bidi w:val="0"/>
        <w:adjustRightInd/>
        <w:snapToGrid/>
        <w:spacing w:before="60" w:after="60"/>
        <w:ind w:leftChars="200"/>
        <w:contextualSpacing w:val="0"/>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 xml:space="preserve">For RedCap NTN UE with HD-FDD, the requirements are met provided that </w:t>
      </w:r>
    </w:p>
    <w:p w14:paraId="3B7AD87B">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SSB is available at the UE once every SMTC period during T</w:t>
      </w:r>
      <w:r>
        <w:rPr>
          <w:rFonts w:ascii="Times New Roman" w:hAnsi="Times New Roman" w:eastAsia="宋体" w:cs="Times New Roman"/>
          <w:i w:val="0"/>
          <w:iCs w:val="0"/>
          <w:sz w:val="20"/>
          <w:szCs w:val="20"/>
          <w:vertAlign w:val="subscript"/>
          <w:lang w:val="en-US" w:eastAsia="en-US" w:bidi="ar-SA"/>
        </w:rPr>
        <w:t>search</w:t>
      </w:r>
    </w:p>
    <w:p w14:paraId="284F9FB6">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w:t>
      </w:r>
    </w:p>
    <w:p w14:paraId="206F659D">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IU</w:t>
      </w:r>
      <w:r>
        <w:rPr>
          <w:rFonts w:ascii="Times New Roman" w:hAnsi="Times New Roman" w:eastAsia="宋体" w:cs="Times New Roman"/>
          <w:i w:val="0"/>
          <w:iCs w:val="0"/>
          <w:sz w:val="20"/>
          <w:szCs w:val="20"/>
          <w:lang w:val="en-US" w:eastAsia="en-US" w:bidi="ar-SA"/>
        </w:rPr>
        <w:t>.</w:t>
      </w:r>
    </w:p>
    <w:p w14:paraId="05BEA67B">
      <w:pPr>
        <w:keepNext w:val="0"/>
        <w:keepLines w:val="0"/>
        <w:pageBreakBefore w:val="0"/>
        <w:widowControl/>
        <w:numPr>
          <w:ilvl w:val="0"/>
          <w:numId w:val="0"/>
        </w:numPr>
        <w:kinsoku/>
        <w:wordWrap/>
        <w:overflowPunct/>
        <w:topLinePunct w:val="0"/>
        <w:autoSpaceDE/>
        <w:autoSpaceDN/>
        <w:bidi w:val="0"/>
        <w:adjustRightInd/>
        <w:spacing w:before="60" w:after="60"/>
        <w:contextualSpacing/>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For Time/location-based CHO with L3 measurement, due to the target cell must be the known cell, no T</w:t>
      </w:r>
      <w:r>
        <w:rPr>
          <w:rFonts w:hint="eastAsia"/>
          <w:b w:val="0"/>
          <w:bCs w:val="0"/>
          <w:i w:val="0"/>
          <w:iCs w:val="0"/>
          <w:sz w:val="20"/>
          <w:szCs w:val="20"/>
          <w:vertAlign w:val="subscript"/>
          <w:lang w:val="en-US" w:eastAsia="zh-CN"/>
        </w:rPr>
        <w:t>serach</w:t>
      </w:r>
      <w:r>
        <w:rPr>
          <w:rFonts w:hint="eastAsia"/>
          <w:b w:val="0"/>
          <w:bCs w:val="0"/>
          <w:i w:val="0"/>
          <w:iCs w:val="0"/>
          <w:sz w:val="20"/>
          <w:szCs w:val="20"/>
          <w:lang w:val="en-US" w:eastAsia="zh-CN"/>
        </w:rPr>
        <w:t xml:space="preserve"> needed in the interruption, following applicability rules to adapt HD-FDD case should be added:</w:t>
      </w:r>
    </w:p>
    <w:p w14:paraId="7B4374A6">
      <w:pPr>
        <w:keepNext w:val="0"/>
        <w:keepLines w:val="0"/>
        <w:pageBreakBefore w:val="0"/>
        <w:widowControl/>
        <w:numPr>
          <w:ilvl w:val="3"/>
          <w:numId w:val="0"/>
        </w:numPr>
        <w:kinsoku/>
        <w:wordWrap/>
        <w:overflowPunct/>
        <w:topLinePunct w:val="0"/>
        <w:autoSpaceDE/>
        <w:autoSpaceDN/>
        <w:bidi w:val="0"/>
        <w:adjustRightInd/>
        <w:snapToGrid/>
        <w:spacing w:before="60" w:after="60"/>
        <w:ind w:leftChars="200"/>
        <w:contextualSpacing w:val="0"/>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 xml:space="preserve">For RedCap NTN UE with HD-FDD, the requirements are met provided that </w:t>
      </w:r>
    </w:p>
    <w:p w14:paraId="2BAB8B91">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w:t>
      </w:r>
    </w:p>
    <w:p w14:paraId="156C1292">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jc w:val="both"/>
        <w:textAlignment w:val="auto"/>
        <w:rPr>
          <w:rFonts w:ascii="Times New Roman" w:hAnsi="Times New Roman" w:eastAsia="宋体" w:cs="Times New Roman"/>
          <w:i w:val="0"/>
          <w:iCs w:val="0"/>
          <w:sz w:val="20"/>
          <w:szCs w:val="20"/>
          <w:lang w:val="en-US" w:eastAsia="en-US" w:bidi="ar-SA"/>
        </w:rPr>
      </w:pPr>
      <w:r>
        <w:rPr>
          <w:rFonts w:ascii="Times New Roman" w:hAnsi="Times New Roman" w:eastAsia="宋体" w:cs="Times New Roman"/>
          <w:i w:val="0"/>
          <w:iCs w:val="0"/>
          <w:sz w:val="20"/>
          <w:szCs w:val="20"/>
          <w:lang w:val="en-US" w:eastAsia="en-US" w:bidi="ar-SA"/>
        </w:rPr>
        <w:t>One SSB is available during T</w:t>
      </w:r>
      <w:r>
        <w:rPr>
          <w:rFonts w:ascii="Times New Roman" w:hAnsi="Times New Roman" w:eastAsia="宋体" w:cs="Times New Roman"/>
          <w:i w:val="0"/>
          <w:iCs w:val="0"/>
          <w:sz w:val="20"/>
          <w:szCs w:val="20"/>
          <w:vertAlign w:val="subscript"/>
          <w:lang w:val="en-US" w:eastAsia="en-US" w:bidi="ar-SA"/>
        </w:rPr>
        <w:t>IU</w:t>
      </w:r>
      <w:r>
        <w:rPr>
          <w:rFonts w:ascii="Times New Roman" w:hAnsi="Times New Roman" w:eastAsia="宋体" w:cs="Times New Roman"/>
          <w:i w:val="0"/>
          <w:iCs w:val="0"/>
          <w:sz w:val="20"/>
          <w:szCs w:val="20"/>
          <w:lang w:val="en-US" w:eastAsia="en-US" w:bidi="ar-SA"/>
        </w:rPr>
        <w:t>.</w:t>
      </w:r>
    </w:p>
    <w:p w14:paraId="782B495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15: For RACH-based HO, RACH-less HO, Time/location-based CHO without L3 measurement and Satellite switching with re-synchronization, following applicability rules to adapt HD-FDD case should be added:</w:t>
      </w:r>
    </w:p>
    <w:p w14:paraId="42CD5859">
      <w:pPr>
        <w:keepNext w:val="0"/>
        <w:keepLines w:val="0"/>
        <w:pageBreakBefore w:val="0"/>
        <w:widowControl/>
        <w:numPr>
          <w:ilvl w:val="3"/>
          <w:numId w:val="0"/>
        </w:numPr>
        <w:kinsoku/>
        <w:wordWrap/>
        <w:overflowPunct/>
        <w:topLinePunct w:val="0"/>
        <w:autoSpaceDE/>
        <w:autoSpaceDN/>
        <w:bidi w:val="0"/>
        <w:adjustRightInd/>
        <w:snapToGrid/>
        <w:spacing w:before="60" w:after="60"/>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14:paraId="0B1DA957">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SSB is available at the UE once every SMTC period during T</w:t>
      </w:r>
      <w:r>
        <w:rPr>
          <w:rFonts w:ascii="Times New Roman" w:hAnsi="Times New Roman" w:eastAsia="宋体" w:cs="Times New Roman"/>
          <w:b/>
          <w:bCs/>
          <w:i/>
          <w:iCs/>
          <w:sz w:val="20"/>
          <w:szCs w:val="20"/>
          <w:vertAlign w:val="subscript"/>
          <w:lang w:val="en-US" w:eastAsia="en-US" w:bidi="ar-SA"/>
        </w:rPr>
        <w:t>search</w:t>
      </w:r>
    </w:p>
    <w:p w14:paraId="1965081E">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14:paraId="20CA26D8">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r>
        <w:rPr>
          <w:rFonts w:ascii="Times New Roman" w:hAnsi="Times New Roman" w:eastAsia="宋体" w:cs="Times New Roman"/>
          <w:b/>
          <w:bCs/>
          <w:i/>
          <w:iCs/>
          <w:sz w:val="20"/>
          <w:szCs w:val="20"/>
          <w:lang w:val="en-US" w:eastAsia="en-US" w:bidi="ar-SA"/>
        </w:rPr>
        <w:t>.</w:t>
      </w:r>
    </w:p>
    <w:p w14:paraId="3DDE365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16: For Time/location-based CHO with L3 measurement, following applicability rules to adapt HD-FDD case should be added:</w:t>
      </w:r>
    </w:p>
    <w:p w14:paraId="6741F917">
      <w:pPr>
        <w:keepNext w:val="0"/>
        <w:keepLines w:val="0"/>
        <w:pageBreakBefore w:val="0"/>
        <w:widowControl/>
        <w:numPr>
          <w:ilvl w:val="3"/>
          <w:numId w:val="0"/>
        </w:numPr>
        <w:kinsoku/>
        <w:wordWrap/>
        <w:overflowPunct/>
        <w:topLinePunct w:val="0"/>
        <w:autoSpaceDE/>
        <w:autoSpaceDN/>
        <w:bidi w:val="0"/>
        <w:adjustRightInd/>
        <w:snapToGrid/>
        <w:spacing w:before="60" w:after="60"/>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14:paraId="070EED08">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14:paraId="4291F1A3">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p>
    <w:p w14:paraId="24EEBBBA">
      <w:pPr>
        <w:rPr>
          <w:rFonts w:hint="default"/>
          <w:lang w:val="en-US" w:eastAsia="zh-CN"/>
        </w:rPr>
      </w:pPr>
    </w:p>
    <w:p w14:paraId="0EEE090E">
      <w:pPr>
        <w:pStyle w:val="2"/>
        <w:numPr>
          <w:ilvl w:val="0"/>
          <w:numId w:val="5"/>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zh-CN"/>
        </w:rPr>
        <w:t>Others</w:t>
      </w:r>
    </w:p>
    <w:p w14:paraId="16E79DF8">
      <w:pPr>
        <w:pStyle w:val="3"/>
        <w:numPr>
          <w:ilvl w:val="1"/>
          <w:numId w:val="5"/>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UE capabilities for (e)RedCap UE with FR1-NTN bands</w:t>
      </w:r>
    </w:p>
    <w:p w14:paraId="2D968FFD">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4-2-1: How to declare the capabilities for (e)RedCap UE with FR1-NTN bands?</w:t>
      </w:r>
    </w:p>
    <w:p w14:paraId="333738FF">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none"/>
          <w:lang w:val="en-US" w:eastAsia="zh-CN"/>
        </w:rPr>
      </w:pPr>
      <w:r>
        <w:rPr>
          <w:rFonts w:hint="eastAsia"/>
          <w:b/>
          <w:i/>
          <w:iCs/>
          <w:sz w:val="20"/>
          <w:szCs w:val="20"/>
          <w:highlight w:val="none"/>
          <w:u w:val="none"/>
          <w:lang w:val="en-US" w:eastAsia="ko-KR"/>
        </w:rPr>
        <w:t>&lt;Way Forward&gt;</w:t>
      </w:r>
      <w:r>
        <w:rPr>
          <w:rFonts w:hint="eastAsia"/>
          <w:b/>
          <w:i/>
          <w:iCs/>
          <w:sz w:val="20"/>
          <w:szCs w:val="20"/>
          <w:highlight w:val="none"/>
          <w:u w:val="none"/>
          <w:lang w:val="en-US" w:eastAsia="zh-CN"/>
        </w:rPr>
        <w:t>:</w:t>
      </w:r>
    </w:p>
    <w:p w14:paraId="71AD413B">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i/>
          <w:iCs/>
          <w:sz w:val="20"/>
          <w:szCs w:val="20"/>
        </w:rPr>
      </w:pPr>
      <w:r>
        <w:rPr>
          <w:i/>
          <w:iCs/>
          <w:sz w:val="20"/>
          <w:szCs w:val="20"/>
        </w:rPr>
        <w:t xml:space="preserve">Proposal </w:t>
      </w:r>
      <w:r>
        <w:rPr>
          <w:rFonts w:hint="eastAsia"/>
          <w:i/>
          <w:iCs/>
          <w:sz w:val="20"/>
          <w:szCs w:val="20"/>
        </w:rPr>
        <w:t>1</w:t>
      </w:r>
      <w:r>
        <w:rPr>
          <w:i/>
          <w:iCs/>
          <w:sz w:val="20"/>
          <w:szCs w:val="20"/>
        </w:rPr>
        <w:t>: Declare the capabilities for (e)RedCap UE with FR1-NTN bands through implicitly by declaring support of RedCap (supportOfRedCap-r17 or supportOfERedCap-r18) and support of NTN (nonTerrestrialNetwork-r17).</w:t>
      </w:r>
    </w:p>
    <w:p w14:paraId="4BCEDB85">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i/>
          <w:iCs/>
          <w:sz w:val="20"/>
          <w:szCs w:val="20"/>
        </w:rPr>
      </w:pPr>
      <w:r>
        <w:rPr>
          <w:i/>
          <w:iCs/>
          <w:sz w:val="20"/>
          <w:szCs w:val="20"/>
        </w:rPr>
        <w:t xml:space="preserve">Proposal </w:t>
      </w:r>
      <w:r>
        <w:rPr>
          <w:rFonts w:hint="eastAsia"/>
          <w:i/>
          <w:iCs/>
          <w:sz w:val="20"/>
          <w:szCs w:val="20"/>
        </w:rPr>
        <w:t xml:space="preserve">2: </w:t>
      </w:r>
      <w:r>
        <w:rPr>
          <w:i/>
          <w:iCs/>
          <w:sz w:val="20"/>
          <w:szCs w:val="20"/>
        </w:rPr>
        <w:t>Introduce new capability to declare support over RedCap over NTN.</w:t>
      </w:r>
    </w:p>
    <w:p w14:paraId="5C6E23CC">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rFonts w:hint="eastAsia"/>
          <w:b/>
          <w:bCs/>
          <w:i/>
          <w:iCs/>
          <w:sz w:val="20"/>
          <w:szCs w:val="20"/>
          <w:lang w:val="en-US" w:eastAsia="zh-CN"/>
        </w:rPr>
      </w:pPr>
      <w:r>
        <w:rPr>
          <w:i/>
          <w:iCs/>
          <w:sz w:val="20"/>
          <w:szCs w:val="20"/>
        </w:rPr>
        <w:t xml:space="preserve">Proposal </w:t>
      </w:r>
      <w:r>
        <w:rPr>
          <w:rFonts w:hint="eastAsia"/>
          <w:i/>
          <w:iCs/>
          <w:sz w:val="20"/>
          <w:szCs w:val="20"/>
        </w:rPr>
        <w:t xml:space="preserve">3: </w:t>
      </w:r>
      <w:r>
        <w:rPr>
          <w:i/>
          <w:iCs/>
          <w:sz w:val="20"/>
          <w:szCs w:val="20"/>
        </w:rPr>
        <w:t>Both proposals, i.e., a new capability declaring (e) RedCap for NTN or combining (e)RedCap and NTN, are fine with us. It may be determined later.</w:t>
      </w:r>
      <w:bookmarkEnd w:id="5"/>
    </w:p>
    <w:p w14:paraId="7A20FAC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For (e)Redcap UE capability declaring, both Proposal 1 and Proposal 2 are workable. Considering the principle of no need to introduce new capability if existing capability can be used, we slightly prefer the implicit way to save the workload of RAN2. </w:t>
      </w:r>
    </w:p>
    <w:p w14:paraId="0A07254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Theme="minorEastAsia"/>
          <w:b/>
          <w:bCs/>
          <w:i/>
          <w:iCs/>
          <w:sz w:val="20"/>
          <w:szCs w:val="20"/>
          <w:lang w:val="en-US" w:eastAsia="zh-CN"/>
        </w:rPr>
      </w:pPr>
      <w:bookmarkStart w:id="39" w:name="OLE_LINK33"/>
      <w:r>
        <w:rPr>
          <w:rFonts w:hint="eastAsia"/>
          <w:b/>
          <w:bCs/>
          <w:i/>
          <w:iCs/>
          <w:sz w:val="20"/>
          <w:szCs w:val="20"/>
          <w:lang w:val="en-US" w:eastAsia="zh-CN"/>
        </w:rPr>
        <w:t>Proposal 17: D</w:t>
      </w:r>
      <w:r>
        <w:rPr>
          <w:rFonts w:hint="eastAsia"/>
          <w:b/>
          <w:bCs/>
          <w:i/>
          <w:iCs/>
          <w:sz w:val="20"/>
          <w:szCs w:val="20"/>
          <w:lang w:val="en-US" w:eastAsia="en-US"/>
        </w:rPr>
        <w:t>eclare the capabilities for (e)RedCap UE with FR1-NTN bands</w:t>
      </w:r>
      <w:r>
        <w:rPr>
          <w:rFonts w:hint="eastAsia"/>
          <w:b/>
          <w:bCs/>
          <w:i/>
          <w:iCs/>
          <w:sz w:val="20"/>
          <w:szCs w:val="20"/>
          <w:lang w:val="en-US" w:eastAsia="zh-CN"/>
        </w:rPr>
        <w:t xml:space="preserve"> through implicitly by declaring </w:t>
      </w:r>
      <w:r>
        <w:rPr>
          <w:rFonts w:hint="eastAsia"/>
          <w:b/>
          <w:bCs/>
          <w:i/>
          <w:iCs/>
          <w:sz w:val="20"/>
          <w:szCs w:val="20"/>
          <w:lang w:val="en-US" w:eastAsia="en-US"/>
        </w:rPr>
        <w:t xml:space="preserve">support of RedCap (supportOfRedCap-r17 or supportOfERedCap-r18) </w:t>
      </w:r>
      <w:r>
        <w:rPr>
          <w:rFonts w:hint="eastAsia"/>
          <w:b/>
          <w:bCs/>
          <w:i/>
          <w:iCs/>
          <w:sz w:val="20"/>
          <w:szCs w:val="20"/>
          <w:lang w:val="en-US" w:eastAsia="zh-CN"/>
        </w:rPr>
        <w:t>and</w:t>
      </w:r>
      <w:r>
        <w:rPr>
          <w:rFonts w:hint="eastAsia"/>
          <w:b/>
          <w:bCs/>
          <w:i/>
          <w:iCs/>
          <w:sz w:val="20"/>
          <w:szCs w:val="20"/>
          <w:lang w:val="en-US" w:eastAsia="en-US"/>
        </w:rPr>
        <w:t xml:space="preserve"> support of NTN (nonTerrestrialNetwork-r17)</w:t>
      </w:r>
      <w:r>
        <w:rPr>
          <w:rFonts w:hint="eastAsia"/>
          <w:b/>
          <w:bCs/>
          <w:i/>
          <w:iCs/>
          <w:sz w:val="20"/>
          <w:szCs w:val="20"/>
          <w:lang w:val="en-US" w:eastAsia="zh-CN"/>
        </w:rPr>
        <w:t>.</w:t>
      </w:r>
    </w:p>
    <w:bookmarkEnd w:id="39"/>
    <w:p w14:paraId="2A140A88">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bookmarkEnd w:id="6"/>
    <w:p w14:paraId="4503E848">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965FD2E">
      <w:pPr>
        <w:spacing w:before="60"/>
        <w:rPr>
          <w:sz w:val="20"/>
          <w:szCs w:val="20"/>
        </w:rPr>
      </w:pPr>
      <w:r>
        <w:rPr>
          <w:sz w:val="20"/>
          <w:szCs w:val="20"/>
        </w:rPr>
        <w:t xml:space="preserve">Based on the discussion above, the following observations and proposals are concluded. </w:t>
      </w:r>
      <w:bookmarkEnd w:id="7"/>
      <w:bookmarkEnd w:id="8"/>
    </w:p>
    <w:p w14:paraId="20FBC3B4">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 xml:space="preserve">: </w:t>
      </w:r>
      <w:r>
        <w:rPr>
          <w:rFonts w:hint="eastAsia" w:eastAsia="等线"/>
          <w:b/>
          <w:bCs/>
          <w:i/>
          <w:iCs/>
          <w:sz w:val="20"/>
          <w:szCs w:val="20"/>
          <w:lang w:val="en-US" w:eastAsia="zh-CN"/>
        </w:rPr>
        <w:t>Define the MDT requirements i</w:t>
      </w:r>
      <w:r>
        <w:rPr>
          <w:rFonts w:hint="eastAsia"/>
          <w:b/>
          <w:bCs/>
          <w:i/>
          <w:iCs/>
          <w:sz w:val="20"/>
          <w:szCs w:val="20"/>
          <w:lang w:val="en-US" w:eastAsia="zh-CN"/>
        </w:rPr>
        <w:t xml:space="preserve">n RRC_IDLE and RRC_INACTIVE state </w:t>
      </w:r>
      <w:r>
        <w:rPr>
          <w:rFonts w:hint="eastAsia" w:eastAsia="等线"/>
          <w:b/>
          <w:bCs/>
          <w:i/>
          <w:iCs/>
          <w:sz w:val="20"/>
          <w:szCs w:val="20"/>
          <w:lang w:val="en-US" w:eastAsia="zh-CN"/>
        </w:rPr>
        <w:t>for Redcap over NTN.</w:t>
      </w:r>
    </w:p>
    <w:p w14:paraId="59C3FB85">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 xml:space="preserve">For both 1Rx and 2Rx Redcap UE, the baseline of UE capability is that </w:t>
      </w:r>
      <w:r>
        <w:rPr>
          <w:rFonts w:eastAsia="等线"/>
          <w:b/>
          <w:bCs/>
          <w:i/>
          <w:iCs/>
          <w:sz w:val="20"/>
          <w:szCs w:val="20"/>
        </w:rPr>
        <w:t>UE is mandatory to support</w:t>
      </w:r>
      <w:r>
        <w:rPr>
          <w:rFonts w:hint="eastAsia" w:eastAsia="等线"/>
          <w:b/>
          <w:bCs/>
          <w:i/>
          <w:iCs/>
          <w:sz w:val="20"/>
          <w:szCs w:val="20"/>
          <w:lang w:val="en-US" w:eastAsia="zh-CN"/>
        </w:rPr>
        <w:t xml:space="preserve"> p</w:t>
      </w:r>
      <w:r>
        <w:rPr>
          <w:rFonts w:eastAsia="等线"/>
          <w:b/>
          <w:bCs/>
          <w:i/>
          <w:iCs/>
          <w:sz w:val="20"/>
          <w:szCs w:val="20"/>
        </w:rPr>
        <w:t xml:space="preserve">arallel measurements on </w:t>
      </w:r>
      <w:r>
        <w:rPr>
          <w:rFonts w:hint="eastAsia" w:eastAsia="等线"/>
          <w:b/>
          <w:bCs/>
          <w:i/>
          <w:iCs/>
          <w:sz w:val="20"/>
          <w:szCs w:val="20"/>
          <w:lang w:val="en-US" w:eastAsia="zh-CN"/>
        </w:rPr>
        <w:t>2</w:t>
      </w:r>
      <w:r>
        <w:rPr>
          <w:rFonts w:eastAsia="等线"/>
          <w:b/>
          <w:bCs/>
          <w:i/>
          <w:iCs/>
          <w:sz w:val="20"/>
          <w:szCs w:val="20"/>
        </w:rPr>
        <w:t xml:space="preserve"> SMTC-s for a single frequency carrier</w:t>
      </w:r>
      <w:r>
        <w:rPr>
          <w:rFonts w:hint="eastAsia" w:eastAsia="等线"/>
          <w:b/>
          <w:bCs/>
          <w:i/>
          <w:iCs/>
          <w:sz w:val="20"/>
          <w:szCs w:val="20"/>
          <w:lang w:val="en-US" w:eastAsia="zh-CN"/>
        </w:rPr>
        <w:t>.</w:t>
      </w:r>
    </w:p>
    <w:p w14:paraId="403D3E2C">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Reuse the legacy collision conditions for parallel measurements on multiple SMTCs.</w:t>
      </w:r>
    </w:p>
    <w:p w14:paraId="527E4A02">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lang w:val="en-US" w:eastAsia="zh-CN"/>
        </w:rPr>
        <w:t>For both intra-frequency measurement and inter-frequency measurement, the number of cells and SSBs can be reused, the number of supported satellites and related UE capability can be reused.</w:t>
      </w:r>
    </w:p>
    <w:p w14:paraId="3FB198BF">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5</w:t>
      </w:r>
      <w:r>
        <w:rPr>
          <w:rFonts w:eastAsia="等线"/>
          <w:b/>
          <w:bCs/>
          <w:i/>
          <w:iCs/>
          <w:sz w:val="20"/>
          <w:szCs w:val="20"/>
        </w:rPr>
        <w:t xml:space="preserve">: </w:t>
      </w:r>
      <w:r>
        <w:rPr>
          <w:rFonts w:hint="eastAsia" w:eastAsia="等线"/>
          <w:b/>
          <w:bCs/>
          <w:i/>
          <w:iCs/>
          <w:sz w:val="20"/>
          <w:szCs w:val="20"/>
          <w:lang w:val="en-US" w:eastAsia="zh-CN"/>
        </w:rPr>
        <w:t>Optional feature 25-3(parallelMeasurementGap-r17) is applicable for (e)Redcap UE, the requirement definition can follow the same principle of the existing NR NTN requirements.</w:t>
      </w:r>
    </w:p>
    <w:p w14:paraId="6BC5F34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i/>
          <w:iCs/>
          <w:sz w:val="20"/>
          <w:szCs w:val="20"/>
          <w:highlight w:val="none"/>
          <w:u w:val="single"/>
          <w:lang w:val="en-US" w:eastAsia="zh-CN"/>
        </w:rPr>
      </w:pPr>
      <w:r>
        <w:rPr>
          <w:rFonts w:hint="eastAsia"/>
          <w:b/>
          <w:bCs/>
          <w:i/>
          <w:iCs/>
          <w:sz w:val="20"/>
          <w:szCs w:val="20"/>
          <w:lang w:val="en-US" w:eastAsia="zh-CN"/>
        </w:rPr>
        <w:t>Proposal 6: No strong view about whether to add additional requirement applicability about CD-SSB/NCD-SSB.</w:t>
      </w:r>
    </w:p>
    <w:p w14:paraId="7781293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7: For the optional NTN features which have impact on RAN4 requirements, they can also be optionally supported by Redcap UE.</w:t>
      </w:r>
    </w:p>
    <w:p w14:paraId="6BF0053C">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b/>
          <w:bCs/>
          <w:i/>
          <w:iCs/>
          <w:sz w:val="20"/>
          <w:szCs w:val="20"/>
          <w:lang w:val="en-US" w:eastAsia="en-GB"/>
        </w:rPr>
      </w:pPr>
      <w:r>
        <w:rPr>
          <w:rFonts w:hint="eastAsia"/>
          <w:b/>
          <w:bCs/>
          <w:i/>
          <w:iCs/>
          <w:sz w:val="20"/>
          <w:szCs w:val="20"/>
          <w:lang w:val="en-US" w:eastAsia="en-GB"/>
        </w:rPr>
        <w:t>SMTC adjustment in idle/inactive</w:t>
      </w:r>
    </w:p>
    <w:p w14:paraId="4252E052">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b/>
          <w:i/>
          <w:iCs/>
          <w:sz w:val="20"/>
          <w:szCs w:val="20"/>
          <w:highlight w:val="none"/>
          <w:u w:val="single"/>
          <w:lang w:val="en-US" w:eastAsia="zh-CN"/>
        </w:rPr>
      </w:pPr>
      <w:r>
        <w:rPr>
          <w:rFonts w:hint="eastAsia"/>
          <w:b/>
          <w:bCs/>
          <w:i/>
          <w:iCs/>
          <w:sz w:val="20"/>
          <w:szCs w:val="20"/>
          <w:lang w:val="en-US" w:eastAsia="en-GB"/>
        </w:rPr>
        <w:t>Location-based measurement report trigger</w:t>
      </w:r>
    </w:p>
    <w:p w14:paraId="33A154C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8: Define enhanced cell reselection measurement requirement for RedCap UE not configured with eDRX_IDLE cycle, the requirement for normal UEs can be reused.</w:t>
      </w:r>
    </w:p>
    <w:p w14:paraId="64CE7BF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9: For inter-RAT E-UTRAN TN carrier cell re-selection measurement requirements:</w:t>
      </w:r>
    </w:p>
    <w:p w14:paraId="311B489C">
      <w:pPr>
        <w:keepNext w:val="0"/>
        <w:keepLines w:val="0"/>
        <w:pageBreakBefore w:val="0"/>
        <w:widowControl/>
        <w:numPr>
          <w:ilvl w:val="0"/>
          <w:numId w:val="8"/>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For (e)Redcap UE not configured with eDRX_IDLE cycle, reuse the </w:t>
      </w:r>
      <w:r>
        <w:rPr>
          <w:rFonts w:hint="eastAsia"/>
          <w:b/>
          <w:bCs/>
          <w:i/>
          <w:iCs/>
          <w:sz w:val="20"/>
          <w:szCs w:val="20"/>
          <w:lang w:val="en-US" w:eastAsia="en-US"/>
        </w:rPr>
        <w:t>legacy requirements defined for normal UEs</w:t>
      </w:r>
      <w:r>
        <w:rPr>
          <w:rFonts w:hint="eastAsia"/>
          <w:b/>
          <w:bCs/>
          <w:i/>
          <w:iCs/>
          <w:sz w:val="20"/>
          <w:szCs w:val="20"/>
          <w:lang w:val="en-US" w:eastAsia="zh-CN"/>
        </w:rPr>
        <w:t>.</w:t>
      </w:r>
    </w:p>
    <w:p w14:paraId="5069472D">
      <w:pPr>
        <w:keepNext w:val="0"/>
        <w:keepLines w:val="0"/>
        <w:pageBreakBefore w:val="0"/>
        <w:widowControl/>
        <w:numPr>
          <w:ilvl w:val="0"/>
          <w:numId w:val="8"/>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b/>
          <w:bCs/>
          <w:i/>
          <w:iCs/>
          <w:sz w:val="20"/>
          <w:szCs w:val="20"/>
          <w:lang w:val="en-US" w:eastAsia="zh-CN"/>
        </w:rPr>
      </w:pPr>
      <w:r>
        <w:rPr>
          <w:rFonts w:hint="eastAsia"/>
          <w:b/>
          <w:bCs/>
          <w:i/>
          <w:iCs/>
          <w:sz w:val="20"/>
          <w:szCs w:val="20"/>
          <w:lang w:val="en-US" w:eastAsia="zh-CN"/>
        </w:rPr>
        <w:t xml:space="preserve">For (e)Redcap UE configured with eDRX_IDLE cycle, reuse the Redcap Inter-RAT cell reselection requirement defined in TS 38.133 </w:t>
      </w:r>
      <w:r>
        <w:rPr>
          <w:rFonts w:hint="eastAsia"/>
          <w:b/>
          <w:bCs/>
          <w:i/>
          <w:iCs/>
          <w:sz w:val="20"/>
          <w:szCs w:val="20"/>
          <w:lang w:val="en-US" w:eastAsia="en-US"/>
        </w:rPr>
        <w:t>Table 4.2B.2.5-2</w:t>
      </w:r>
      <w:r>
        <w:rPr>
          <w:rFonts w:hint="eastAsia"/>
          <w:b/>
          <w:bCs/>
          <w:i/>
          <w:iCs/>
          <w:sz w:val="20"/>
          <w:szCs w:val="20"/>
          <w:lang w:val="en-US" w:eastAsia="zh-CN"/>
        </w:rPr>
        <w:t>.</w:t>
      </w:r>
    </w:p>
    <w:p w14:paraId="28037B3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10: For measurement accuracy requirement, support the way forward from RAN4#114 meeting.</w:t>
      </w:r>
    </w:p>
    <w:p w14:paraId="2490A3B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11: Same principle for HD-FDD (e)RedCap UE in TN network will be followed as baseline.</w:t>
      </w:r>
    </w:p>
    <w:p w14:paraId="287D316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12: Clarify that the measurement requirements apply provided that no RS is overrode by UL transmission during the measurement period. Otherwise, longer delays can be expected.</w:t>
      </w:r>
    </w:p>
    <w:p w14:paraId="6F9EA9D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bCs/>
          <w:i/>
          <w:iCs/>
          <w:kern w:val="2"/>
          <w:sz w:val="20"/>
          <w:szCs w:val="20"/>
          <w:u w:val="single"/>
          <w:lang w:val="en-US" w:eastAsia="zh-CN"/>
        </w:rPr>
      </w:pPr>
      <w:r>
        <w:rPr>
          <w:rFonts w:hint="eastAsia"/>
          <w:b/>
          <w:bCs/>
          <w:i/>
          <w:iCs/>
          <w:sz w:val="20"/>
          <w:szCs w:val="20"/>
          <w:lang w:val="en-US" w:eastAsia="zh-CN"/>
        </w:rPr>
        <w:t xml:space="preserve">Proposal 13: For scheduling availability of UE performing intra/inter measurements, the existing principle can be reused, that </w:t>
      </w:r>
      <w:r>
        <w:rPr>
          <w:rFonts w:hint="eastAsia"/>
          <w:b/>
          <w:bCs/>
          <w:i/>
          <w:iCs/>
          <w:kern w:val="2"/>
          <w:sz w:val="20"/>
          <w:szCs w:val="20"/>
          <w:lang w:val="en-US" w:eastAsia="zh-CN"/>
        </w:rPr>
        <w:t xml:space="preserve">UE is not expected to transmit PUCCH/PUSCH/SRS on SSB symbols/SMTCs </w:t>
      </w:r>
      <w:r>
        <w:rPr>
          <w:rFonts w:hint="eastAsia"/>
          <w:b/>
          <w:bCs/>
          <w:i/>
          <w:iCs/>
          <w:kern w:val="2"/>
          <w:sz w:val="20"/>
          <w:szCs w:val="20"/>
          <w:u w:val="single"/>
          <w:lang w:val="en-US" w:eastAsia="zh-CN"/>
        </w:rPr>
        <w:t>to be measured.</w:t>
      </w:r>
    </w:p>
    <w:p w14:paraId="2A27B80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Theme="minorEastAsia"/>
          <w:b/>
          <w:bCs/>
          <w:i/>
          <w:iCs/>
          <w:sz w:val="20"/>
          <w:szCs w:val="20"/>
          <w:lang w:val="en-US" w:eastAsia="zh-CN"/>
        </w:rPr>
      </w:pPr>
      <w:r>
        <w:rPr>
          <w:rFonts w:hint="eastAsia"/>
          <w:b/>
          <w:bCs/>
          <w:i/>
          <w:iCs/>
          <w:sz w:val="20"/>
          <w:szCs w:val="20"/>
          <w:lang w:val="en-US" w:eastAsia="zh-CN"/>
        </w:rPr>
        <w:t xml:space="preserve">Proposal 14: </w:t>
      </w:r>
      <w:r>
        <w:rPr>
          <w:rFonts w:hint="eastAsia"/>
          <w:b/>
          <w:bCs/>
          <w:i/>
          <w:iCs/>
          <w:kern w:val="2"/>
          <w:sz w:val="20"/>
          <w:szCs w:val="20"/>
          <w:lang w:val="en-US" w:eastAsia="zh-CN"/>
        </w:rPr>
        <w:t xml:space="preserve">For </w:t>
      </w:r>
      <w:r>
        <w:rPr>
          <w:rFonts w:hint="eastAsia"/>
          <w:b/>
          <w:bCs/>
          <w:i/>
          <w:iCs/>
          <w:sz w:val="20"/>
          <w:szCs w:val="20"/>
          <w:lang w:val="en-US" w:eastAsia="zh-CN"/>
        </w:rPr>
        <w:t>s</w:t>
      </w:r>
      <w:r>
        <w:rPr>
          <w:b/>
          <w:bCs/>
          <w:i/>
          <w:iCs/>
          <w:sz w:val="20"/>
          <w:szCs w:val="20"/>
        </w:rPr>
        <w:t>cheduling availability of UE during L1-RSRP measurement</w:t>
      </w:r>
      <w:r>
        <w:rPr>
          <w:rFonts w:hint="eastAsia"/>
          <w:b/>
          <w:bCs/>
          <w:i/>
          <w:iCs/>
          <w:sz w:val="20"/>
          <w:szCs w:val="20"/>
          <w:lang w:val="en-US" w:eastAsia="zh-CN"/>
        </w:rPr>
        <w:t xml:space="preserve">, update the principle as scheduling restrictions apply for transmission on PUCCH/PUSCH/SRS during the CBD evaluation period, </w:t>
      </w:r>
      <w:r>
        <w:rPr>
          <w:rFonts w:hint="eastAsia"/>
          <w:b/>
          <w:bCs/>
          <w:i/>
          <w:iCs/>
          <w:sz w:val="20"/>
          <w:szCs w:val="20"/>
          <w:u w:val="single"/>
          <w:lang w:val="en-US" w:eastAsia="zh-CN"/>
        </w:rPr>
        <w:t>when CBD evaluation is prioritized over UL transmission</w:t>
      </w:r>
      <w:r>
        <w:rPr>
          <w:rFonts w:hint="eastAsia"/>
          <w:b/>
          <w:bCs/>
          <w:i/>
          <w:iCs/>
          <w:sz w:val="20"/>
          <w:szCs w:val="20"/>
          <w:lang w:val="en-US" w:eastAsia="zh-CN"/>
        </w:rPr>
        <w:t>.</w:t>
      </w:r>
    </w:p>
    <w:p w14:paraId="498C87D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15: For RACH-based HO, RACH-less HO, Time/location-based CHO without L3 measurement and Satellite switching with re-synchronization, following applicability rules to adapt HD-FDD case should be added:</w:t>
      </w:r>
    </w:p>
    <w:p w14:paraId="0E84DAA2">
      <w:pPr>
        <w:keepNext w:val="0"/>
        <w:keepLines w:val="0"/>
        <w:pageBreakBefore w:val="0"/>
        <w:widowControl/>
        <w:numPr>
          <w:ilvl w:val="3"/>
          <w:numId w:val="0"/>
        </w:numPr>
        <w:kinsoku/>
        <w:wordWrap/>
        <w:overflowPunct/>
        <w:topLinePunct w:val="0"/>
        <w:autoSpaceDE/>
        <w:autoSpaceDN/>
        <w:bidi w:val="0"/>
        <w:adjustRightInd/>
        <w:snapToGrid/>
        <w:spacing w:before="60" w:after="60"/>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14:paraId="55713920">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SSB is available at the UE once every SMTC period during T</w:t>
      </w:r>
      <w:r>
        <w:rPr>
          <w:rFonts w:ascii="Times New Roman" w:hAnsi="Times New Roman" w:eastAsia="宋体" w:cs="Times New Roman"/>
          <w:b/>
          <w:bCs/>
          <w:i/>
          <w:iCs/>
          <w:sz w:val="20"/>
          <w:szCs w:val="20"/>
          <w:vertAlign w:val="subscript"/>
          <w:lang w:val="en-US" w:eastAsia="en-US" w:bidi="ar-SA"/>
        </w:rPr>
        <w:t>search</w:t>
      </w:r>
    </w:p>
    <w:p w14:paraId="267D2F3E">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14:paraId="7354FB95">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r>
        <w:rPr>
          <w:rFonts w:ascii="Times New Roman" w:hAnsi="Times New Roman" w:eastAsia="宋体" w:cs="Times New Roman"/>
          <w:b/>
          <w:bCs/>
          <w:i/>
          <w:iCs/>
          <w:sz w:val="20"/>
          <w:szCs w:val="20"/>
          <w:lang w:val="en-US" w:eastAsia="en-US" w:bidi="ar-SA"/>
        </w:rPr>
        <w:t>.</w:t>
      </w:r>
    </w:p>
    <w:p w14:paraId="42D782E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16: For Time/location-based CHO with L3 measurement, following applicability rules to adapt HD-FDD case should be added:</w:t>
      </w:r>
    </w:p>
    <w:p w14:paraId="50A916A3">
      <w:pPr>
        <w:keepNext w:val="0"/>
        <w:keepLines w:val="0"/>
        <w:pageBreakBefore w:val="0"/>
        <w:widowControl/>
        <w:numPr>
          <w:ilvl w:val="3"/>
          <w:numId w:val="0"/>
        </w:numPr>
        <w:kinsoku/>
        <w:wordWrap/>
        <w:overflowPunct/>
        <w:topLinePunct w:val="0"/>
        <w:autoSpaceDE/>
        <w:autoSpaceDN/>
        <w:bidi w:val="0"/>
        <w:adjustRightInd/>
        <w:snapToGrid/>
        <w:spacing w:before="60" w:after="60"/>
        <w:ind w:leftChars="200"/>
        <w:contextualSpacing w:val="0"/>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 xml:space="preserve">For RedCap NTN UE with HD-FDD, the requirements are met provided that </w:t>
      </w:r>
    </w:p>
    <w:p w14:paraId="3C85026F">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w:t>
      </w:r>
    </w:p>
    <w:p w14:paraId="50725E80">
      <w:pPr>
        <w:keepNext w:val="0"/>
        <w:keepLines w:val="0"/>
        <w:pageBreakBefore w:val="0"/>
        <w:widowControl/>
        <w:numPr>
          <w:ilvl w:val="4"/>
          <w:numId w:val="6"/>
        </w:numPr>
        <w:kinsoku/>
        <w:wordWrap/>
        <w:overflowPunct/>
        <w:topLinePunct w:val="0"/>
        <w:autoSpaceDE/>
        <w:autoSpaceDN/>
        <w:bidi w:val="0"/>
        <w:adjustRightInd/>
        <w:snapToGrid/>
        <w:spacing w:before="60" w:after="60"/>
        <w:ind w:left="840" w:leftChars="200" w:hanging="360" w:firstLineChars="0"/>
        <w:contextualSpacing/>
        <w:textAlignment w:val="auto"/>
        <w:rPr>
          <w:rFonts w:ascii="Times New Roman" w:hAnsi="Times New Roman" w:eastAsia="宋体" w:cs="Times New Roman"/>
          <w:b/>
          <w:bCs/>
          <w:i/>
          <w:iCs/>
          <w:sz w:val="20"/>
          <w:szCs w:val="20"/>
          <w:lang w:val="en-US" w:eastAsia="en-US" w:bidi="ar-SA"/>
        </w:rPr>
      </w:pPr>
      <w:r>
        <w:rPr>
          <w:rFonts w:ascii="Times New Roman" w:hAnsi="Times New Roman" w:eastAsia="宋体" w:cs="Times New Roman"/>
          <w:b/>
          <w:bCs/>
          <w:i/>
          <w:iCs/>
          <w:sz w:val="20"/>
          <w:szCs w:val="20"/>
          <w:lang w:val="en-US" w:eastAsia="en-US" w:bidi="ar-SA"/>
        </w:rPr>
        <w:t>One SSB is available during T</w:t>
      </w:r>
      <w:r>
        <w:rPr>
          <w:rFonts w:ascii="Times New Roman" w:hAnsi="Times New Roman" w:eastAsia="宋体" w:cs="Times New Roman"/>
          <w:b/>
          <w:bCs/>
          <w:i/>
          <w:iCs/>
          <w:sz w:val="20"/>
          <w:szCs w:val="20"/>
          <w:vertAlign w:val="subscript"/>
          <w:lang w:val="en-US" w:eastAsia="en-US" w:bidi="ar-SA"/>
        </w:rPr>
        <w:t>IU</w:t>
      </w:r>
    </w:p>
    <w:p w14:paraId="3651238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Theme="minorEastAsia"/>
          <w:b/>
          <w:bCs/>
          <w:i/>
          <w:iCs/>
          <w:sz w:val="20"/>
          <w:szCs w:val="20"/>
          <w:lang w:val="en-US" w:eastAsia="zh-CN"/>
        </w:rPr>
      </w:pPr>
      <w:r>
        <w:rPr>
          <w:rFonts w:hint="eastAsia"/>
          <w:b/>
          <w:bCs/>
          <w:i/>
          <w:iCs/>
          <w:sz w:val="20"/>
          <w:szCs w:val="20"/>
          <w:lang w:val="en-US" w:eastAsia="zh-CN"/>
        </w:rPr>
        <w:t>Proposal 17: D</w:t>
      </w:r>
      <w:r>
        <w:rPr>
          <w:rFonts w:hint="eastAsia"/>
          <w:b/>
          <w:bCs/>
          <w:i/>
          <w:iCs/>
          <w:sz w:val="20"/>
          <w:szCs w:val="20"/>
          <w:lang w:val="en-US" w:eastAsia="en-US"/>
        </w:rPr>
        <w:t>eclare the capabilities for (e)RedCap UE with FR1-NTN bands</w:t>
      </w:r>
      <w:r>
        <w:rPr>
          <w:rFonts w:hint="eastAsia"/>
          <w:b/>
          <w:bCs/>
          <w:i/>
          <w:iCs/>
          <w:sz w:val="20"/>
          <w:szCs w:val="20"/>
          <w:lang w:val="en-US" w:eastAsia="zh-CN"/>
        </w:rPr>
        <w:t xml:space="preserve"> through implicitly by declaring </w:t>
      </w:r>
      <w:r>
        <w:rPr>
          <w:rFonts w:hint="eastAsia"/>
          <w:b/>
          <w:bCs/>
          <w:i/>
          <w:iCs/>
          <w:sz w:val="20"/>
          <w:szCs w:val="20"/>
          <w:lang w:val="en-US" w:eastAsia="en-US"/>
        </w:rPr>
        <w:t xml:space="preserve">support of RedCap (supportOfRedCap-r17 or supportOfERedCap-r18) </w:t>
      </w:r>
      <w:r>
        <w:rPr>
          <w:rFonts w:hint="eastAsia"/>
          <w:b/>
          <w:bCs/>
          <w:i/>
          <w:iCs/>
          <w:sz w:val="20"/>
          <w:szCs w:val="20"/>
          <w:lang w:val="en-US" w:eastAsia="zh-CN"/>
        </w:rPr>
        <w:t>and</w:t>
      </w:r>
      <w:r>
        <w:rPr>
          <w:rFonts w:hint="eastAsia"/>
          <w:b/>
          <w:bCs/>
          <w:i/>
          <w:iCs/>
          <w:sz w:val="20"/>
          <w:szCs w:val="20"/>
          <w:lang w:val="en-US" w:eastAsia="en-US"/>
        </w:rPr>
        <w:t xml:space="preserve"> support of NTN (nonTerrestrialNetwork-r17)</w:t>
      </w:r>
      <w:r>
        <w:rPr>
          <w:rFonts w:hint="eastAsia"/>
          <w:b/>
          <w:bCs/>
          <w:i/>
          <w:iCs/>
          <w:sz w:val="20"/>
          <w:szCs w:val="20"/>
          <w:lang w:val="en-US" w:eastAsia="zh-CN"/>
        </w:rPr>
        <w:t>.</w:t>
      </w:r>
    </w:p>
    <w:p w14:paraId="5668A7BA">
      <w:pPr>
        <w:keepNext w:val="0"/>
        <w:keepLines w:val="0"/>
        <w:pageBreakBefore w:val="0"/>
        <w:widowControl/>
        <w:numPr>
          <w:ilvl w:val="0"/>
          <w:numId w:val="0"/>
        </w:numPr>
        <w:kinsoku/>
        <w:wordWrap/>
        <w:overflowPunct/>
        <w:topLinePunct w:val="0"/>
        <w:autoSpaceDE/>
        <w:autoSpaceDN/>
        <w:bidi w:val="0"/>
        <w:adjustRightInd/>
        <w:snapToGrid/>
        <w:contextualSpacing/>
        <w:textAlignment w:val="auto"/>
        <w:rPr>
          <w:rFonts w:ascii="Times New Roman" w:hAnsi="Times New Roman" w:eastAsia="宋体" w:cs="Times New Roman"/>
          <w:b/>
          <w:bCs/>
          <w:i/>
          <w:iCs/>
          <w:sz w:val="20"/>
          <w:szCs w:val="20"/>
          <w:lang w:val="en-US" w:eastAsia="en-US" w:bidi="ar-SA"/>
        </w:rPr>
      </w:pPr>
    </w:p>
    <w:p w14:paraId="70213217">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1B4AD75">
      <w:pPr>
        <w:numPr>
          <w:ilvl w:val="0"/>
          <w:numId w:val="12"/>
        </w:numPr>
        <w:rPr>
          <w:rFonts w:hint="default" w:eastAsiaTheme="minorEastAsia"/>
          <w:sz w:val="20"/>
          <w:szCs w:val="20"/>
          <w:lang w:val="en-US" w:eastAsia="zh-CN"/>
        </w:rPr>
      </w:pPr>
      <w:r>
        <w:rPr>
          <w:rFonts w:hint="eastAsia"/>
          <w:sz w:val="20"/>
          <w:szCs w:val="20"/>
          <w:lang w:val="en-US" w:eastAsia="zh-CN"/>
        </w:rPr>
        <w:t>R4-2502687, WF on RRM requirements for NR_NTN_Ph3_Part1, Moderator (CATT)</w:t>
      </w:r>
    </w:p>
    <w:sectPr>
      <w:pgSz w:w="11900" w:h="16840"/>
      <w:pgMar w:top="1134" w:right="1417"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E7D390"/>
    <w:multiLevelType w:val="singleLevel"/>
    <w:tmpl w:val="D0E7D390"/>
    <w:lvl w:ilvl="0" w:tentative="0">
      <w:start w:val="1"/>
      <w:numFmt w:val="bullet"/>
      <w:lvlText w:val=""/>
      <w:lvlJc w:val="left"/>
      <w:pPr>
        <w:ind w:left="420" w:hanging="420"/>
      </w:pPr>
      <w:rPr>
        <w:rFonts w:hint="default" w:ascii="Wingdings" w:hAnsi="Wingdings"/>
      </w:rPr>
    </w:lvl>
  </w:abstractNum>
  <w:abstractNum w:abstractNumId="1">
    <w:nsid w:val="05DDA047"/>
    <w:multiLevelType w:val="multilevel"/>
    <w:tmpl w:val="05DDA047"/>
    <w:lvl w:ilvl="0" w:tentative="0">
      <w:start w:val="1"/>
      <w:numFmt w:val="bullet"/>
      <w:lvlText w:val=""/>
      <w:lvlJc w:val="left"/>
      <w:pPr>
        <w:tabs>
          <w:tab w:val="left" w:pos="134"/>
        </w:tabs>
        <w:ind w:left="134" w:leftChars="0" w:hanging="134"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161B4A82"/>
    <w:multiLevelType w:val="multilevel"/>
    <w:tmpl w:val="161B4A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8E229BB"/>
    <w:multiLevelType w:val="multilevel"/>
    <w:tmpl w:val="28E229BB"/>
    <w:lvl w:ilvl="0" w:tentative="0">
      <w:start w:val="1"/>
      <w:numFmt w:val="bullet"/>
      <w:lvlText w:val="·"/>
      <w:lvlJc w:val="left"/>
      <w:pPr>
        <w:ind w:left="1140" w:hanging="420"/>
      </w:pPr>
      <w:rPr>
        <w:rFonts w:hint="default" w:ascii="仿宋" w:hAnsi="仿宋" w:eastAsia="仿宋" w:cs="仿宋"/>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lang w:val="en-US"/>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9">
    <w:nsid w:val="71A62EB7"/>
    <w:multiLevelType w:val="multilevel"/>
    <w:tmpl w:val="71A62EB7"/>
    <w:lvl w:ilvl="0" w:tentative="0">
      <w:start w:val="1"/>
      <w:numFmt w:val="bullet"/>
      <w:lvlText w:val=""/>
      <w:lvlJc w:val="left"/>
      <w:pPr>
        <w:ind w:left="1159" w:hanging="360"/>
      </w:pPr>
      <w:rPr>
        <w:rFonts w:hint="default" w:ascii="Symbol" w:hAnsi="Symbol"/>
      </w:rPr>
    </w:lvl>
    <w:lvl w:ilvl="1" w:tentative="0">
      <w:start w:val="1"/>
      <w:numFmt w:val="bullet"/>
      <w:lvlText w:val="o"/>
      <w:lvlJc w:val="left"/>
      <w:pPr>
        <w:ind w:left="1879" w:hanging="360"/>
      </w:pPr>
      <w:rPr>
        <w:rFonts w:hint="default" w:ascii="Courier New" w:hAnsi="Courier New" w:cs="Courier New"/>
      </w:rPr>
    </w:lvl>
    <w:lvl w:ilvl="2" w:tentative="0">
      <w:start w:val="1"/>
      <w:numFmt w:val="bullet"/>
      <w:lvlText w:val=""/>
      <w:lvlJc w:val="left"/>
      <w:pPr>
        <w:ind w:left="2599" w:hanging="360"/>
      </w:pPr>
      <w:rPr>
        <w:rFonts w:hint="default" w:ascii="Wingdings" w:hAnsi="Wingdings"/>
      </w:rPr>
    </w:lvl>
    <w:lvl w:ilvl="3" w:tentative="0">
      <w:start w:val="1"/>
      <w:numFmt w:val="bullet"/>
      <w:lvlText w:val=""/>
      <w:lvlJc w:val="left"/>
      <w:pPr>
        <w:ind w:left="3319" w:hanging="360"/>
      </w:pPr>
      <w:rPr>
        <w:rFonts w:hint="default" w:ascii="Symbol" w:hAnsi="Symbol"/>
      </w:rPr>
    </w:lvl>
    <w:lvl w:ilvl="4" w:tentative="0">
      <w:start w:val="1"/>
      <w:numFmt w:val="bullet"/>
      <w:lvlText w:val="o"/>
      <w:lvlJc w:val="left"/>
      <w:pPr>
        <w:ind w:left="4039" w:hanging="360"/>
      </w:pPr>
      <w:rPr>
        <w:rFonts w:hint="default" w:ascii="Courier New" w:hAnsi="Courier New" w:cs="Courier New"/>
      </w:rPr>
    </w:lvl>
    <w:lvl w:ilvl="5" w:tentative="0">
      <w:start w:val="1"/>
      <w:numFmt w:val="bullet"/>
      <w:lvlText w:val=""/>
      <w:lvlJc w:val="left"/>
      <w:pPr>
        <w:ind w:left="4759" w:hanging="360"/>
      </w:pPr>
      <w:rPr>
        <w:rFonts w:hint="default" w:ascii="Wingdings" w:hAnsi="Wingdings"/>
      </w:rPr>
    </w:lvl>
    <w:lvl w:ilvl="6" w:tentative="0">
      <w:start w:val="1"/>
      <w:numFmt w:val="bullet"/>
      <w:lvlText w:val=""/>
      <w:lvlJc w:val="left"/>
      <w:pPr>
        <w:ind w:left="5479" w:hanging="360"/>
      </w:pPr>
      <w:rPr>
        <w:rFonts w:hint="default" w:ascii="Symbol" w:hAnsi="Symbol"/>
      </w:rPr>
    </w:lvl>
    <w:lvl w:ilvl="7" w:tentative="0">
      <w:start w:val="1"/>
      <w:numFmt w:val="bullet"/>
      <w:lvlText w:val="o"/>
      <w:lvlJc w:val="left"/>
      <w:pPr>
        <w:ind w:left="6199" w:hanging="360"/>
      </w:pPr>
      <w:rPr>
        <w:rFonts w:hint="default" w:ascii="Courier New" w:hAnsi="Courier New" w:cs="Courier New"/>
      </w:rPr>
    </w:lvl>
    <w:lvl w:ilvl="8" w:tentative="0">
      <w:start w:val="1"/>
      <w:numFmt w:val="bullet"/>
      <w:lvlText w:val=""/>
      <w:lvlJc w:val="left"/>
      <w:pPr>
        <w:ind w:left="6919"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9EE624D"/>
    <w:multiLevelType w:val="singleLevel"/>
    <w:tmpl w:val="79EE624D"/>
    <w:lvl w:ilvl="0" w:tentative="0">
      <w:start w:val="1"/>
      <w:numFmt w:val="decimal"/>
      <w:suff w:val="space"/>
      <w:lvlText w:val="[%1]"/>
      <w:lvlJc w:val="left"/>
    </w:lvl>
  </w:abstractNum>
  <w:num w:numId="1">
    <w:abstractNumId w:val="10"/>
  </w:num>
  <w:num w:numId="2">
    <w:abstractNumId w:val="7"/>
  </w:num>
  <w:num w:numId="3">
    <w:abstractNumId w:val="5"/>
  </w:num>
  <w:num w:numId="4">
    <w:abstractNumId w:val="8"/>
  </w:num>
  <w:num w:numId="5">
    <w:abstractNumId w:val="3"/>
  </w:num>
  <w:num w:numId="6">
    <w:abstractNumId w:val="6"/>
  </w:num>
  <w:num w:numId="7">
    <w:abstractNumId w:val="1"/>
  </w:num>
  <w:num w:numId="8">
    <w:abstractNumId w:val="0"/>
  </w:num>
  <w:num w:numId="9">
    <w:abstractNumId w:val="9"/>
  </w:num>
  <w:num w:numId="10">
    <w:abstractNumId w:val="2"/>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59B"/>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80A"/>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01309F"/>
    <w:rsid w:val="0308283B"/>
    <w:rsid w:val="032875BA"/>
    <w:rsid w:val="035A658E"/>
    <w:rsid w:val="03FF761E"/>
    <w:rsid w:val="04027B7C"/>
    <w:rsid w:val="04270E0A"/>
    <w:rsid w:val="04440527"/>
    <w:rsid w:val="04DB75FA"/>
    <w:rsid w:val="04DC77BE"/>
    <w:rsid w:val="04F14AC0"/>
    <w:rsid w:val="053E51B4"/>
    <w:rsid w:val="05A920F6"/>
    <w:rsid w:val="05CF2BA5"/>
    <w:rsid w:val="05E842A2"/>
    <w:rsid w:val="061C4A75"/>
    <w:rsid w:val="06830D33"/>
    <w:rsid w:val="07B91BA9"/>
    <w:rsid w:val="07E3754D"/>
    <w:rsid w:val="087215FB"/>
    <w:rsid w:val="08AB1B88"/>
    <w:rsid w:val="09301679"/>
    <w:rsid w:val="09380145"/>
    <w:rsid w:val="098E414D"/>
    <w:rsid w:val="09C43F96"/>
    <w:rsid w:val="0A002B8F"/>
    <w:rsid w:val="0A2516E8"/>
    <w:rsid w:val="0A2F10B0"/>
    <w:rsid w:val="0A314183"/>
    <w:rsid w:val="0A512B65"/>
    <w:rsid w:val="0A613B9D"/>
    <w:rsid w:val="0A6E4719"/>
    <w:rsid w:val="0AB1352C"/>
    <w:rsid w:val="0B1810CB"/>
    <w:rsid w:val="0B3C6892"/>
    <w:rsid w:val="0B4D1804"/>
    <w:rsid w:val="0B4E364B"/>
    <w:rsid w:val="0BC169A8"/>
    <w:rsid w:val="0BFD3FEE"/>
    <w:rsid w:val="0BFE43A0"/>
    <w:rsid w:val="0C34713B"/>
    <w:rsid w:val="0C6A2398"/>
    <w:rsid w:val="0D11391B"/>
    <w:rsid w:val="0D6D742F"/>
    <w:rsid w:val="0D7B07A7"/>
    <w:rsid w:val="0DB01D4D"/>
    <w:rsid w:val="0E115F02"/>
    <w:rsid w:val="0E1E058B"/>
    <w:rsid w:val="0E6C3CB3"/>
    <w:rsid w:val="0E723D6F"/>
    <w:rsid w:val="0EA0635C"/>
    <w:rsid w:val="0EB73522"/>
    <w:rsid w:val="0EC601AB"/>
    <w:rsid w:val="0F2A17EF"/>
    <w:rsid w:val="103877B0"/>
    <w:rsid w:val="10C74B9A"/>
    <w:rsid w:val="10FD15E1"/>
    <w:rsid w:val="11157AC0"/>
    <w:rsid w:val="11410433"/>
    <w:rsid w:val="114C2E03"/>
    <w:rsid w:val="11502A3C"/>
    <w:rsid w:val="116206E1"/>
    <w:rsid w:val="11E74B6B"/>
    <w:rsid w:val="11EF3345"/>
    <w:rsid w:val="12CC1965"/>
    <w:rsid w:val="135D091C"/>
    <w:rsid w:val="137462B3"/>
    <w:rsid w:val="1381490C"/>
    <w:rsid w:val="144E60BA"/>
    <w:rsid w:val="14704788"/>
    <w:rsid w:val="14815722"/>
    <w:rsid w:val="15321084"/>
    <w:rsid w:val="155A08C9"/>
    <w:rsid w:val="164E7427"/>
    <w:rsid w:val="16701F86"/>
    <w:rsid w:val="16E2462A"/>
    <w:rsid w:val="16F963FC"/>
    <w:rsid w:val="17F40229"/>
    <w:rsid w:val="17F76EF9"/>
    <w:rsid w:val="18572D14"/>
    <w:rsid w:val="19166C11"/>
    <w:rsid w:val="19684D1A"/>
    <w:rsid w:val="199268D2"/>
    <w:rsid w:val="19A32242"/>
    <w:rsid w:val="19AE4C3C"/>
    <w:rsid w:val="19E84EE7"/>
    <w:rsid w:val="1A337C08"/>
    <w:rsid w:val="1A693185"/>
    <w:rsid w:val="1AE9076D"/>
    <w:rsid w:val="1B08792E"/>
    <w:rsid w:val="1B6524AD"/>
    <w:rsid w:val="1B846519"/>
    <w:rsid w:val="1C045BB5"/>
    <w:rsid w:val="1C166ABB"/>
    <w:rsid w:val="1C28484F"/>
    <w:rsid w:val="1C501E46"/>
    <w:rsid w:val="1CE6214B"/>
    <w:rsid w:val="1D482986"/>
    <w:rsid w:val="1D530466"/>
    <w:rsid w:val="1DFA1A6E"/>
    <w:rsid w:val="1E1E7279"/>
    <w:rsid w:val="1E727913"/>
    <w:rsid w:val="1EBC4909"/>
    <w:rsid w:val="1F161C13"/>
    <w:rsid w:val="1FC30CF0"/>
    <w:rsid w:val="20251BCD"/>
    <w:rsid w:val="203F5164"/>
    <w:rsid w:val="20577E1E"/>
    <w:rsid w:val="20741BCD"/>
    <w:rsid w:val="21812D83"/>
    <w:rsid w:val="21E6327B"/>
    <w:rsid w:val="220A3DCE"/>
    <w:rsid w:val="226278E6"/>
    <w:rsid w:val="228679ED"/>
    <w:rsid w:val="2297614E"/>
    <w:rsid w:val="22CD4739"/>
    <w:rsid w:val="22DF4B25"/>
    <w:rsid w:val="235D321D"/>
    <w:rsid w:val="23A0131E"/>
    <w:rsid w:val="23F24A71"/>
    <w:rsid w:val="2453420A"/>
    <w:rsid w:val="24657273"/>
    <w:rsid w:val="25B0630F"/>
    <w:rsid w:val="25C62A88"/>
    <w:rsid w:val="260E7FC9"/>
    <w:rsid w:val="264F651F"/>
    <w:rsid w:val="26AB5CAA"/>
    <w:rsid w:val="26BF4B3C"/>
    <w:rsid w:val="270343AF"/>
    <w:rsid w:val="275238E8"/>
    <w:rsid w:val="27885E9A"/>
    <w:rsid w:val="27A9199E"/>
    <w:rsid w:val="27C37418"/>
    <w:rsid w:val="27DA56EB"/>
    <w:rsid w:val="27E70AD2"/>
    <w:rsid w:val="282B4205"/>
    <w:rsid w:val="28340C68"/>
    <w:rsid w:val="28E63708"/>
    <w:rsid w:val="2903193C"/>
    <w:rsid w:val="293A0182"/>
    <w:rsid w:val="29AE1EEB"/>
    <w:rsid w:val="29B87E90"/>
    <w:rsid w:val="29F41202"/>
    <w:rsid w:val="2A1C7136"/>
    <w:rsid w:val="2A52567F"/>
    <w:rsid w:val="2A9860D6"/>
    <w:rsid w:val="2AD63ADB"/>
    <w:rsid w:val="2AF84813"/>
    <w:rsid w:val="2B2D51E0"/>
    <w:rsid w:val="2CCE420F"/>
    <w:rsid w:val="2D3C0CBF"/>
    <w:rsid w:val="2D480610"/>
    <w:rsid w:val="2DFC7047"/>
    <w:rsid w:val="2E177608"/>
    <w:rsid w:val="2E285745"/>
    <w:rsid w:val="2E3C798B"/>
    <w:rsid w:val="2E954754"/>
    <w:rsid w:val="2EBB7CD6"/>
    <w:rsid w:val="2ECD6A4D"/>
    <w:rsid w:val="2F1F43E1"/>
    <w:rsid w:val="2F28060A"/>
    <w:rsid w:val="2F8831C0"/>
    <w:rsid w:val="2FF748E5"/>
    <w:rsid w:val="300B5909"/>
    <w:rsid w:val="302A3B16"/>
    <w:rsid w:val="30B40872"/>
    <w:rsid w:val="30B631AE"/>
    <w:rsid w:val="30CD41B2"/>
    <w:rsid w:val="311C418B"/>
    <w:rsid w:val="312A6EA1"/>
    <w:rsid w:val="314F1B30"/>
    <w:rsid w:val="31686321"/>
    <w:rsid w:val="33106379"/>
    <w:rsid w:val="33417212"/>
    <w:rsid w:val="337A5602"/>
    <w:rsid w:val="33867DCA"/>
    <w:rsid w:val="33870849"/>
    <w:rsid w:val="339A6C60"/>
    <w:rsid w:val="33A629ED"/>
    <w:rsid w:val="33C33478"/>
    <w:rsid w:val="33CE3940"/>
    <w:rsid w:val="33E2308C"/>
    <w:rsid w:val="33FE13A0"/>
    <w:rsid w:val="33FF585B"/>
    <w:rsid w:val="341222FE"/>
    <w:rsid w:val="34767F95"/>
    <w:rsid w:val="34AF7BFE"/>
    <w:rsid w:val="34C969B6"/>
    <w:rsid w:val="35A645F2"/>
    <w:rsid w:val="35CB3800"/>
    <w:rsid w:val="36081486"/>
    <w:rsid w:val="3620464F"/>
    <w:rsid w:val="36267311"/>
    <w:rsid w:val="36416C14"/>
    <w:rsid w:val="366B2405"/>
    <w:rsid w:val="36ED2DC2"/>
    <w:rsid w:val="37CB4866"/>
    <w:rsid w:val="38616D76"/>
    <w:rsid w:val="38C116AD"/>
    <w:rsid w:val="3ABF584B"/>
    <w:rsid w:val="3AE06415"/>
    <w:rsid w:val="3B1D4D3A"/>
    <w:rsid w:val="3B1E11F2"/>
    <w:rsid w:val="3B3261DC"/>
    <w:rsid w:val="3B8F2744"/>
    <w:rsid w:val="3BCD3BF3"/>
    <w:rsid w:val="3BFE0C95"/>
    <w:rsid w:val="3C00607D"/>
    <w:rsid w:val="3C1B0BDA"/>
    <w:rsid w:val="3C1C2A58"/>
    <w:rsid w:val="3C3F629C"/>
    <w:rsid w:val="3C4C1B38"/>
    <w:rsid w:val="3CC57762"/>
    <w:rsid w:val="3D2E150D"/>
    <w:rsid w:val="3D544B41"/>
    <w:rsid w:val="3D774C98"/>
    <w:rsid w:val="3DA924E0"/>
    <w:rsid w:val="3DD26E51"/>
    <w:rsid w:val="3DFE15C4"/>
    <w:rsid w:val="3EEA4AAC"/>
    <w:rsid w:val="3EF44FD4"/>
    <w:rsid w:val="3FB93D52"/>
    <w:rsid w:val="3FDA4BFA"/>
    <w:rsid w:val="3FEF1D74"/>
    <w:rsid w:val="3FFA159D"/>
    <w:rsid w:val="4028093E"/>
    <w:rsid w:val="40A203D0"/>
    <w:rsid w:val="41021CB6"/>
    <w:rsid w:val="42714C57"/>
    <w:rsid w:val="428C04CB"/>
    <w:rsid w:val="4293387E"/>
    <w:rsid w:val="43294C63"/>
    <w:rsid w:val="43297F3D"/>
    <w:rsid w:val="432F05BA"/>
    <w:rsid w:val="438A330C"/>
    <w:rsid w:val="43B141DD"/>
    <w:rsid w:val="43BB175A"/>
    <w:rsid w:val="43CB7FC0"/>
    <w:rsid w:val="43D2693C"/>
    <w:rsid w:val="443A7490"/>
    <w:rsid w:val="44694FB6"/>
    <w:rsid w:val="44D416C8"/>
    <w:rsid w:val="44E55C94"/>
    <w:rsid w:val="44F042A4"/>
    <w:rsid w:val="45004955"/>
    <w:rsid w:val="45104F09"/>
    <w:rsid w:val="4568626D"/>
    <w:rsid w:val="45A64DC9"/>
    <w:rsid w:val="45D44A70"/>
    <w:rsid w:val="4606166D"/>
    <w:rsid w:val="461247C1"/>
    <w:rsid w:val="468D0F58"/>
    <w:rsid w:val="47382E8E"/>
    <w:rsid w:val="47BD2EBF"/>
    <w:rsid w:val="480073D8"/>
    <w:rsid w:val="48045BE0"/>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14046C"/>
    <w:rsid w:val="4C311206"/>
    <w:rsid w:val="4C740FBB"/>
    <w:rsid w:val="4CB32D3F"/>
    <w:rsid w:val="4D1769F0"/>
    <w:rsid w:val="4D2C3744"/>
    <w:rsid w:val="4DF73079"/>
    <w:rsid w:val="4E222F58"/>
    <w:rsid w:val="4E63642D"/>
    <w:rsid w:val="4E734BC1"/>
    <w:rsid w:val="4E7F6788"/>
    <w:rsid w:val="4EEE3525"/>
    <w:rsid w:val="4F1A25AD"/>
    <w:rsid w:val="4F4A5D3D"/>
    <w:rsid w:val="4F882DF6"/>
    <w:rsid w:val="4FA71C42"/>
    <w:rsid w:val="4FBE626D"/>
    <w:rsid w:val="50047D3F"/>
    <w:rsid w:val="50803E7A"/>
    <w:rsid w:val="50952AAD"/>
    <w:rsid w:val="50D16751"/>
    <w:rsid w:val="50FC4159"/>
    <w:rsid w:val="51BC33A4"/>
    <w:rsid w:val="52387E00"/>
    <w:rsid w:val="52657DC0"/>
    <w:rsid w:val="52A02608"/>
    <w:rsid w:val="53046661"/>
    <w:rsid w:val="53F344DD"/>
    <w:rsid w:val="53F34D30"/>
    <w:rsid w:val="54141C5F"/>
    <w:rsid w:val="5415308F"/>
    <w:rsid w:val="548E4C17"/>
    <w:rsid w:val="54E33DB4"/>
    <w:rsid w:val="559303C8"/>
    <w:rsid w:val="56902820"/>
    <w:rsid w:val="56D73D29"/>
    <w:rsid w:val="56D805CB"/>
    <w:rsid w:val="571E44CC"/>
    <w:rsid w:val="57252D4C"/>
    <w:rsid w:val="578951E7"/>
    <w:rsid w:val="57B242AE"/>
    <w:rsid w:val="580B1B2A"/>
    <w:rsid w:val="582D4E7E"/>
    <w:rsid w:val="585C7AD6"/>
    <w:rsid w:val="587E7112"/>
    <w:rsid w:val="58873EE9"/>
    <w:rsid w:val="58B90AAC"/>
    <w:rsid w:val="58D33E46"/>
    <w:rsid w:val="59451621"/>
    <w:rsid w:val="59804317"/>
    <w:rsid w:val="5A3916BC"/>
    <w:rsid w:val="5A5554D1"/>
    <w:rsid w:val="5ACB668C"/>
    <w:rsid w:val="5AD564E3"/>
    <w:rsid w:val="5AF453B5"/>
    <w:rsid w:val="5B4F5A23"/>
    <w:rsid w:val="5B9A48FE"/>
    <w:rsid w:val="5BE54260"/>
    <w:rsid w:val="5C03165A"/>
    <w:rsid w:val="5C753FBD"/>
    <w:rsid w:val="5C845BC3"/>
    <w:rsid w:val="5D0B6B17"/>
    <w:rsid w:val="5D265BFE"/>
    <w:rsid w:val="5DC638A4"/>
    <w:rsid w:val="5DE26877"/>
    <w:rsid w:val="5E0314D0"/>
    <w:rsid w:val="5E9F5E2F"/>
    <w:rsid w:val="5EA54D66"/>
    <w:rsid w:val="5ED27D96"/>
    <w:rsid w:val="5F335A07"/>
    <w:rsid w:val="5FAE3C1E"/>
    <w:rsid w:val="60176AA1"/>
    <w:rsid w:val="601C52A9"/>
    <w:rsid w:val="603B3B74"/>
    <w:rsid w:val="60B5412C"/>
    <w:rsid w:val="60BC6411"/>
    <w:rsid w:val="61AF27D1"/>
    <w:rsid w:val="61D4570E"/>
    <w:rsid w:val="61FE73B1"/>
    <w:rsid w:val="62090166"/>
    <w:rsid w:val="621D6C97"/>
    <w:rsid w:val="628E517D"/>
    <w:rsid w:val="629C6F02"/>
    <w:rsid w:val="62F3291C"/>
    <w:rsid w:val="632D59F4"/>
    <w:rsid w:val="636D6759"/>
    <w:rsid w:val="63D17AAF"/>
    <w:rsid w:val="646466A7"/>
    <w:rsid w:val="646D5888"/>
    <w:rsid w:val="649B770A"/>
    <w:rsid w:val="65B3429B"/>
    <w:rsid w:val="666B0042"/>
    <w:rsid w:val="6695767F"/>
    <w:rsid w:val="669876C5"/>
    <w:rsid w:val="669A6BCA"/>
    <w:rsid w:val="66A97CCD"/>
    <w:rsid w:val="66B83359"/>
    <w:rsid w:val="66D93407"/>
    <w:rsid w:val="66F52B79"/>
    <w:rsid w:val="674701DD"/>
    <w:rsid w:val="674E1284"/>
    <w:rsid w:val="67791B52"/>
    <w:rsid w:val="678F7D1C"/>
    <w:rsid w:val="67B02672"/>
    <w:rsid w:val="67F34F90"/>
    <w:rsid w:val="67FA6925"/>
    <w:rsid w:val="68F83689"/>
    <w:rsid w:val="68F9738C"/>
    <w:rsid w:val="690A41ED"/>
    <w:rsid w:val="6950210B"/>
    <w:rsid w:val="69B84930"/>
    <w:rsid w:val="6A3F058B"/>
    <w:rsid w:val="6A626D71"/>
    <w:rsid w:val="6AA1751A"/>
    <w:rsid w:val="6B3773F6"/>
    <w:rsid w:val="6B4260BD"/>
    <w:rsid w:val="6BFB6DB8"/>
    <w:rsid w:val="6D72001A"/>
    <w:rsid w:val="6D790A61"/>
    <w:rsid w:val="6DFF0623"/>
    <w:rsid w:val="6E7D749A"/>
    <w:rsid w:val="6EC018FE"/>
    <w:rsid w:val="6FAC37F7"/>
    <w:rsid w:val="6FD518E1"/>
    <w:rsid w:val="702177F8"/>
    <w:rsid w:val="70680FA0"/>
    <w:rsid w:val="709A16D4"/>
    <w:rsid w:val="709A7B1B"/>
    <w:rsid w:val="70B558FD"/>
    <w:rsid w:val="71275730"/>
    <w:rsid w:val="7191735E"/>
    <w:rsid w:val="72270B56"/>
    <w:rsid w:val="738E763D"/>
    <w:rsid w:val="74521C25"/>
    <w:rsid w:val="746F038B"/>
    <w:rsid w:val="74BC07DB"/>
    <w:rsid w:val="75280129"/>
    <w:rsid w:val="7530247A"/>
    <w:rsid w:val="759978CC"/>
    <w:rsid w:val="76320D9A"/>
    <w:rsid w:val="76871284"/>
    <w:rsid w:val="769367A2"/>
    <w:rsid w:val="76AC769B"/>
    <w:rsid w:val="772D6395"/>
    <w:rsid w:val="77DC6BAC"/>
    <w:rsid w:val="77EA2826"/>
    <w:rsid w:val="77EB1A53"/>
    <w:rsid w:val="782126F5"/>
    <w:rsid w:val="7863068B"/>
    <w:rsid w:val="78833509"/>
    <w:rsid w:val="78DE7EBE"/>
    <w:rsid w:val="78F0559D"/>
    <w:rsid w:val="78F63FBC"/>
    <w:rsid w:val="79497FA2"/>
    <w:rsid w:val="795B3975"/>
    <w:rsid w:val="796443F7"/>
    <w:rsid w:val="799A470F"/>
    <w:rsid w:val="7A496371"/>
    <w:rsid w:val="7A8B7C93"/>
    <w:rsid w:val="7ABC1705"/>
    <w:rsid w:val="7B0E64C9"/>
    <w:rsid w:val="7B17135D"/>
    <w:rsid w:val="7B3426D8"/>
    <w:rsid w:val="7B62251E"/>
    <w:rsid w:val="7BD16F30"/>
    <w:rsid w:val="7C1A4147"/>
    <w:rsid w:val="7CAD6BC4"/>
    <w:rsid w:val="7CC962C6"/>
    <w:rsid w:val="7CE51231"/>
    <w:rsid w:val="7CED0E52"/>
    <w:rsid w:val="7CF466CF"/>
    <w:rsid w:val="7D017AA5"/>
    <w:rsid w:val="7D272AF4"/>
    <w:rsid w:val="7DD773F4"/>
    <w:rsid w:val="7DFB663E"/>
    <w:rsid w:val="7EB30629"/>
    <w:rsid w:val="7EFC188F"/>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1"/>
    <w:next w:val="1"/>
    <w:link w:val="38"/>
    <w:qFormat/>
    <w:uiPriority w:val="0"/>
    <w:pPr>
      <w:tabs>
        <w:tab w:val="left" w:pos="432"/>
        <w:tab w:val="left" w:pos="720"/>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1"/>
    <w:next w:val="1"/>
    <w:link w:val="40"/>
    <w:qFormat/>
    <w:uiPriority w:val="0"/>
    <w:pPr>
      <w:tabs>
        <w:tab w:val="left" w:pos="432"/>
        <w:tab w:val="left" w:pos="1152"/>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4"/>
    <w:semiHidden/>
    <w:unhideWhenUsed/>
    <w:qFormat/>
    <w:uiPriority w:val="99"/>
    <w:pPr>
      <w:ind w:left="100" w:leftChars="200" w:hanging="200" w:hangingChars="200"/>
      <w:contextualSpacing/>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7"/>
    <w:semiHidden/>
    <w:unhideWhenUsed/>
    <w:qFormat/>
    <w:uiPriority w:val="99"/>
    <w:rPr>
      <w:rFonts w:ascii="Cambria Math" w:hAnsi="Cambria Math" w:eastAsia="Cambria Math"/>
      <w:sz w:val="18"/>
      <w:szCs w:val="18"/>
    </w:rPr>
  </w:style>
  <w:style w:type="paragraph" w:styleId="16">
    <w:name w:val="footer"/>
    <w:basedOn w:val="17"/>
    <w:link w:val="48"/>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5"/>
    <w:qFormat/>
    <w:uiPriority w:val="99"/>
    <w:pPr>
      <w:tabs>
        <w:tab w:val="center" w:pos="4153"/>
        <w:tab w:val="right" w:pos="8306"/>
      </w:tabs>
    </w:pPr>
    <w:rPr>
      <w:rFonts w:eastAsia="Courier New"/>
      <w:sz w:val="20"/>
      <w:szCs w:val="20"/>
      <w:lang w:eastAsia="en-US"/>
    </w:r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7"/>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5"/>
    <w:semiHidden/>
    <w:qFormat/>
    <w:uiPriority w:val="99"/>
    <w:rPr>
      <w:rFonts w:ascii="Cambria Math" w:eastAsia="Cambria Math"/>
      <w:sz w:val="18"/>
      <w:szCs w:val="18"/>
    </w:rPr>
  </w:style>
  <w:style w:type="character" w:customStyle="1" w:styleId="48">
    <w:name w:val="页脚 字符"/>
    <w:link w:val="16"/>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4"/>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11</Pages>
  <Words>3418</Words>
  <Characters>19486</Characters>
  <Lines>162</Lines>
  <Paragraphs>45</Paragraphs>
  <TotalTime>11</TotalTime>
  <ScaleCrop>false</ScaleCrop>
  <LinksUpToDate>false</LinksUpToDate>
  <CharactersWithSpaces>22859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2025-03-28T02:14:37Z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34D6510157444E8DA08695970280360A</vt:lpwstr>
  </property>
</Properties>
</file>